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p>
    <w:p>
      <w:pPr>
        <w:pStyle w:val="12"/>
        <w:jc w:val="center"/>
        <w:rPr>
          <w:sz w:val="84"/>
          <w:szCs w:val="84"/>
        </w:rPr>
      </w:pPr>
    </w:p>
    <w:p>
      <w:pPr>
        <w:pStyle w:val="6"/>
        <w:spacing w:before="0" w:beforeAutospacing="0"/>
        <w:jc w:val="center"/>
        <w:rPr>
          <w:rFonts w:cs="宋体"/>
          <w:b/>
          <w:bCs/>
          <w:sz w:val="44"/>
          <w:szCs w:val="44"/>
          <w:shd w:val="clear" w:color="auto" w:fill="FFFFFF"/>
        </w:rPr>
      </w:pPr>
      <w:r>
        <w:rPr>
          <w:rFonts w:hint="eastAsia" w:cs="宋体"/>
          <w:b/>
          <w:bCs/>
          <w:sz w:val="44"/>
          <w:szCs w:val="44"/>
          <w:shd w:val="clear" w:color="auto" w:fill="FFFFFF"/>
        </w:rPr>
        <w:t>2020年度</w:t>
      </w:r>
    </w:p>
    <w:p>
      <w:pPr>
        <w:pStyle w:val="6"/>
        <w:spacing w:before="0" w:beforeAutospacing="0"/>
        <w:jc w:val="center"/>
        <w:rPr>
          <w:rFonts w:cs="宋体"/>
          <w:b/>
          <w:bCs/>
          <w:sz w:val="44"/>
          <w:szCs w:val="44"/>
          <w:shd w:val="clear" w:color="auto" w:fill="FFFFFF"/>
        </w:rPr>
      </w:pPr>
      <w:r>
        <w:rPr>
          <w:rFonts w:hint="eastAsia" w:cs="宋体"/>
          <w:b/>
          <w:bCs/>
          <w:sz w:val="44"/>
          <w:szCs w:val="44"/>
          <w:shd w:val="clear" w:color="auto" w:fill="FFFFFF"/>
        </w:rPr>
        <w:t>邵阳市大祥区人民检察院</w:t>
      </w:r>
    </w:p>
    <w:p>
      <w:pPr>
        <w:pStyle w:val="6"/>
        <w:spacing w:before="0" w:beforeAutospacing="0"/>
        <w:jc w:val="center"/>
        <w:rPr>
          <w:rFonts w:cs="宋体"/>
          <w:b/>
          <w:bCs/>
          <w:sz w:val="44"/>
          <w:szCs w:val="44"/>
          <w:shd w:val="clear" w:color="auto" w:fill="FFFFFF"/>
        </w:rPr>
      </w:pPr>
      <w:r>
        <w:rPr>
          <w:rFonts w:hint="eastAsia" w:cs="宋体"/>
          <w:b/>
          <w:bCs/>
          <w:sz w:val="44"/>
          <w:szCs w:val="44"/>
          <w:shd w:val="clear" w:color="auto" w:fill="FFFFFF"/>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snapToGrid w:val="0"/>
        <w:spacing w:line="580" w:lineRule="exact"/>
        <w:jc w:val="center"/>
        <w:rPr>
          <w:sz w:val="36"/>
          <w:szCs w:val="28"/>
        </w:rPr>
      </w:pPr>
      <w:r>
        <w:rPr>
          <w:rFonts w:hint="eastAsia"/>
          <w:sz w:val="36"/>
          <w:szCs w:val="28"/>
        </w:rPr>
        <w:t>目录</w:t>
      </w:r>
    </w:p>
    <w:p>
      <w:pPr>
        <w:pStyle w:val="12"/>
        <w:spacing w:line="460" w:lineRule="exact"/>
        <w:ind w:firstLine="560" w:firstLineChars="200"/>
        <w:rPr>
          <w:rFonts w:hAnsi="黑体" w:cs="仿宋_GB2312"/>
          <w:sz w:val="28"/>
          <w:szCs w:val="28"/>
        </w:rPr>
      </w:pPr>
      <w:r>
        <w:rPr>
          <w:rFonts w:hint="eastAsia" w:hAnsi="黑体"/>
          <w:sz w:val="28"/>
          <w:szCs w:val="28"/>
        </w:rPr>
        <w:t>第一部分邵阳市大祥区人民检察院概况</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一、部门职责</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二、机构设置</w:t>
      </w:r>
    </w:p>
    <w:p>
      <w:pPr>
        <w:pStyle w:val="12"/>
        <w:spacing w:line="460" w:lineRule="exact"/>
        <w:rPr>
          <w:rFonts w:hAnsi="黑体"/>
          <w:sz w:val="28"/>
          <w:szCs w:val="28"/>
        </w:rPr>
      </w:pPr>
      <w:r>
        <w:rPr>
          <w:rFonts w:hint="eastAsia" w:hAnsi="黑体"/>
          <w:sz w:val="28"/>
          <w:szCs w:val="28"/>
        </w:rPr>
        <w:t xml:space="preserve">    第二部分</w:t>
      </w:r>
      <w:r>
        <w:rPr>
          <w:rFonts w:hAnsi="黑体"/>
          <w:sz w:val="28"/>
          <w:szCs w:val="28"/>
        </w:rPr>
        <w:t>20</w:t>
      </w:r>
      <w:r>
        <w:rPr>
          <w:rFonts w:hint="eastAsia" w:hAnsi="黑体"/>
          <w:sz w:val="28"/>
          <w:szCs w:val="28"/>
        </w:rPr>
        <w:t>20年度部门决算表</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一、收入支出决算总表</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二、收入决算表</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三、支出决算表</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四、财政拨款收入支出决算总表</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五、一般公共预算财政拨款支出决算表</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六、一般公共预算财政拨款基本支出决算表</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七、一般公共预算财政拨款“三公”经费支出决算表</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八、政府性基金预算财政拨款收入支出决算表</w:t>
      </w:r>
    </w:p>
    <w:p>
      <w:pPr>
        <w:pStyle w:val="12"/>
        <w:spacing w:line="4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九、国有资本经营预算财政拨款支出决算表</w:t>
      </w:r>
    </w:p>
    <w:p>
      <w:pPr>
        <w:pStyle w:val="12"/>
        <w:spacing w:line="460" w:lineRule="exact"/>
        <w:ind w:firstLine="560" w:firstLineChars="200"/>
        <w:rPr>
          <w:rFonts w:hAnsi="黑体"/>
          <w:sz w:val="28"/>
          <w:szCs w:val="28"/>
        </w:rPr>
      </w:pPr>
      <w:r>
        <w:rPr>
          <w:rFonts w:hint="eastAsia" w:hAnsi="黑体"/>
          <w:sz w:val="28"/>
          <w:szCs w:val="28"/>
        </w:rPr>
        <w:t>第三部分</w:t>
      </w:r>
      <w:r>
        <w:rPr>
          <w:rFonts w:hAnsi="黑体"/>
          <w:sz w:val="28"/>
          <w:szCs w:val="28"/>
        </w:rPr>
        <w:t>20</w:t>
      </w:r>
      <w:r>
        <w:rPr>
          <w:rFonts w:hint="eastAsia" w:hAnsi="黑体"/>
          <w:sz w:val="28"/>
          <w:szCs w:val="28"/>
        </w:rPr>
        <w:t>20年度部门决算情况说明</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一、收入支出决算总体情况说明</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二、收入决算情况说明</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三、支出决算情况说明</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四、财政拨款收入支出决算总体情况说明</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五、一般公共预算财政拨款支出决算情况说明</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六、一般公共预算财政拨款基本支出决算情况说明</w:t>
      </w:r>
    </w:p>
    <w:p>
      <w:pPr>
        <w:pStyle w:val="12"/>
        <w:spacing w:line="460" w:lineRule="exact"/>
        <w:ind w:firstLine="560" w:firstLineChars="200"/>
        <w:rPr>
          <w:rFonts w:ascii="仿宋" w:hAnsi="仿宋" w:eastAsia="仿宋" w:cs="仿宋_GB2312"/>
          <w:sz w:val="28"/>
          <w:szCs w:val="28"/>
        </w:rPr>
      </w:pPr>
      <w:r>
        <w:rPr>
          <w:rFonts w:ascii="仿宋" w:hAnsi="仿宋" w:eastAsia="仿宋" w:cs="仿宋_GB2312"/>
          <w:sz w:val="28"/>
          <w:szCs w:val="28"/>
        </w:rPr>
        <w:t>七、一般公共预算财政拨款三公经费支出决算情况说明</w:t>
      </w:r>
    </w:p>
    <w:p>
      <w:pPr>
        <w:pStyle w:val="12"/>
        <w:spacing w:line="4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八</w:t>
      </w:r>
      <w:r>
        <w:rPr>
          <w:rFonts w:ascii="仿宋" w:hAnsi="仿宋" w:eastAsia="仿宋" w:cs="仿宋_GB2312"/>
          <w:sz w:val="28"/>
          <w:szCs w:val="28"/>
        </w:rPr>
        <w:t>、</w:t>
      </w:r>
      <w:r>
        <w:rPr>
          <w:rFonts w:hint="eastAsia" w:ascii="仿宋" w:hAnsi="仿宋" w:eastAsia="仿宋" w:cs="仿宋_GB2312"/>
          <w:sz w:val="28"/>
          <w:szCs w:val="28"/>
        </w:rPr>
        <w:t>政府性基金预算收入支出决算情况</w:t>
      </w:r>
    </w:p>
    <w:p>
      <w:pPr>
        <w:pStyle w:val="12"/>
        <w:spacing w:line="4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九</w:t>
      </w:r>
      <w:r>
        <w:rPr>
          <w:rFonts w:ascii="仿宋" w:hAnsi="仿宋" w:eastAsia="仿宋" w:cs="仿宋_GB2312"/>
          <w:sz w:val="28"/>
          <w:szCs w:val="28"/>
        </w:rPr>
        <w:t>、</w:t>
      </w:r>
      <w:r>
        <w:rPr>
          <w:rFonts w:hint="eastAsia" w:ascii="仿宋" w:hAnsi="仿宋" w:eastAsia="仿宋" w:cs="仿宋_GB2312"/>
          <w:sz w:val="28"/>
          <w:szCs w:val="28"/>
        </w:rPr>
        <w:t>关于机关运行经费支出说明</w:t>
      </w:r>
    </w:p>
    <w:p>
      <w:pPr>
        <w:pStyle w:val="12"/>
        <w:spacing w:line="4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十、一般性支出情况</w:t>
      </w:r>
    </w:p>
    <w:p>
      <w:pPr>
        <w:pStyle w:val="12"/>
        <w:spacing w:line="4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十一、关于政府采购支出说明</w:t>
      </w:r>
    </w:p>
    <w:p>
      <w:pPr>
        <w:pStyle w:val="12"/>
        <w:spacing w:line="4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十二、关于国有资产占用情况说明</w:t>
      </w:r>
    </w:p>
    <w:p>
      <w:pPr>
        <w:pStyle w:val="12"/>
        <w:spacing w:line="4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十三、关于2020年度预算绩效情况的说明</w:t>
      </w:r>
    </w:p>
    <w:p>
      <w:pPr>
        <w:autoSpaceDE w:val="0"/>
        <w:autoSpaceDN w:val="0"/>
        <w:adjustRightInd w:val="0"/>
        <w:spacing w:line="460" w:lineRule="exact"/>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 xml:space="preserve">    </w:t>
      </w:r>
      <w:r>
        <w:rPr>
          <w:rFonts w:ascii="黑体" w:hAnsi="黑体" w:eastAsia="黑体" w:cs="黑体"/>
          <w:color w:val="000000"/>
          <w:kern w:val="0"/>
          <w:sz w:val="28"/>
          <w:szCs w:val="28"/>
        </w:rPr>
        <w:t>第四部分名词解释</w:t>
      </w:r>
    </w:p>
    <w:p>
      <w:pPr>
        <w:autoSpaceDE w:val="0"/>
        <w:autoSpaceDN w:val="0"/>
        <w:adjustRightInd w:val="0"/>
        <w:spacing w:line="460" w:lineRule="exact"/>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 xml:space="preserve">    第五部分附件</w:t>
      </w:r>
    </w:p>
    <w:p>
      <w:pPr>
        <w:pStyle w:val="12"/>
        <w:rPr>
          <w:rFonts w:ascii="仿宋" w:hAnsi="仿宋" w:eastAsia="仿宋"/>
          <w:sz w:val="32"/>
          <w:szCs w:val="32"/>
        </w:rPr>
      </w:pPr>
    </w:p>
    <w:p>
      <w:pPr>
        <w:pStyle w:val="6"/>
        <w:adjustRightInd w:val="0"/>
        <w:snapToGrid w:val="0"/>
        <w:spacing w:before="0" w:beforeAutospacing="0" w:after="0" w:afterAutospacing="0" w:line="560" w:lineRule="exact"/>
        <w:jc w:val="center"/>
        <w:outlineLvl w:val="0"/>
        <w:rPr>
          <w:rFonts w:ascii="黑体" w:hAnsi="黑体" w:eastAsia="黑体" w:cs="黑体"/>
          <w:sz w:val="44"/>
          <w:szCs w:val="44"/>
          <w:shd w:val="clear" w:color="auto" w:fill="FFFFFF"/>
        </w:rPr>
      </w:pPr>
      <w:r>
        <w:rPr>
          <w:rFonts w:hint="eastAsia" w:ascii="黑体" w:hAnsi="黑体" w:eastAsia="黑体" w:cs="黑体"/>
          <w:sz w:val="44"/>
          <w:szCs w:val="44"/>
          <w:shd w:val="clear" w:color="auto" w:fill="FFFFFF"/>
        </w:rPr>
        <w:t>第一部分  邵阳市大祥区人民检察院概况</w:t>
      </w:r>
    </w:p>
    <w:p>
      <w:pPr>
        <w:pStyle w:val="13"/>
        <w:ind w:left="720" w:firstLine="0" w:firstLineChars="0"/>
        <w:jc w:val="left"/>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ind w:firstLine="640" w:firstLineChars="200"/>
        <w:jc w:val="left"/>
        <w:rPr>
          <w:rFonts w:ascii="仿宋" w:hAnsi="仿宋" w:eastAsia="仿宋"/>
          <w:sz w:val="32"/>
          <w:szCs w:val="32"/>
        </w:rPr>
      </w:pPr>
      <w:r>
        <w:rPr>
          <w:rFonts w:hint="eastAsia" w:ascii="仿宋" w:hAnsi="仿宋" w:eastAsia="仿宋"/>
          <w:sz w:val="32"/>
          <w:szCs w:val="32"/>
        </w:rPr>
        <w:t>邵阳市大祥区人民检察院是国家的法律监督机关，接受上级人民检察院的领导，对区人民代表大会及其常务委员会负责并报告工作。其主要职责是：</w:t>
      </w:r>
    </w:p>
    <w:p>
      <w:pPr>
        <w:ind w:firstLine="640" w:firstLineChars="200"/>
        <w:jc w:val="left"/>
        <w:rPr>
          <w:rFonts w:ascii="仿宋" w:hAnsi="仿宋" w:eastAsia="仿宋"/>
          <w:sz w:val="32"/>
          <w:szCs w:val="32"/>
        </w:rPr>
      </w:pPr>
      <w:r>
        <w:rPr>
          <w:rFonts w:hint="eastAsia" w:ascii="仿宋" w:hAnsi="仿宋" w:eastAsia="仿宋"/>
          <w:sz w:val="32"/>
          <w:szCs w:val="32"/>
        </w:rPr>
        <w:t>（一）深入贯彻习近平新时代中国特色社会主义思想，深入贯彻党的路线方针政策和决策部署，坚持党对检察工作的绝对领导，坚决维护习近平总书记的核心地位，坚决维护党中央权威和集中统一领导。</w:t>
      </w:r>
    </w:p>
    <w:p>
      <w:pPr>
        <w:ind w:firstLine="640" w:firstLineChars="200"/>
        <w:jc w:val="left"/>
        <w:rPr>
          <w:rFonts w:ascii="仿宋" w:hAnsi="仿宋" w:eastAsia="仿宋"/>
          <w:sz w:val="32"/>
          <w:szCs w:val="32"/>
        </w:rPr>
      </w:pPr>
      <w:r>
        <w:rPr>
          <w:rFonts w:hint="eastAsia" w:ascii="仿宋" w:hAnsi="仿宋" w:eastAsia="仿宋"/>
          <w:sz w:val="32"/>
          <w:szCs w:val="32"/>
        </w:rPr>
        <w:t>（二）贯彻落实上级人民检察院的各项工作部署，研究制定检察工作规划，部署检察工作任务。</w:t>
      </w:r>
    </w:p>
    <w:p>
      <w:pPr>
        <w:ind w:firstLine="640" w:firstLineChars="200"/>
        <w:jc w:val="left"/>
        <w:rPr>
          <w:rFonts w:ascii="仿宋" w:hAnsi="仿宋" w:eastAsia="仿宋"/>
          <w:sz w:val="32"/>
          <w:szCs w:val="32"/>
        </w:rPr>
      </w:pPr>
      <w:r>
        <w:rPr>
          <w:rFonts w:hint="eastAsia" w:ascii="仿宋" w:hAnsi="仿宋" w:eastAsia="仿宋"/>
          <w:sz w:val="32"/>
          <w:szCs w:val="32"/>
        </w:rPr>
        <w:t>（三）依照法律规定对由区人民检察院直接受理的刑事案件行使侦查权。</w:t>
      </w:r>
    </w:p>
    <w:p>
      <w:pPr>
        <w:ind w:firstLine="640" w:firstLineChars="200"/>
        <w:jc w:val="left"/>
        <w:rPr>
          <w:rFonts w:ascii="仿宋" w:hAnsi="仿宋" w:eastAsia="仿宋"/>
          <w:sz w:val="32"/>
          <w:szCs w:val="32"/>
        </w:rPr>
      </w:pPr>
      <w:r>
        <w:rPr>
          <w:rFonts w:hint="eastAsia" w:ascii="仿宋" w:hAnsi="仿宋" w:eastAsia="仿宋"/>
          <w:sz w:val="32"/>
          <w:szCs w:val="32"/>
        </w:rPr>
        <w:t>（四）对刑事案件依法审查批准逮捕、决定逮捕、提起公诉。</w:t>
      </w:r>
    </w:p>
    <w:p>
      <w:pPr>
        <w:ind w:firstLine="640" w:firstLineChars="200"/>
        <w:jc w:val="left"/>
        <w:rPr>
          <w:rFonts w:ascii="仿宋" w:hAnsi="仿宋" w:eastAsia="仿宋"/>
          <w:sz w:val="32"/>
          <w:szCs w:val="32"/>
        </w:rPr>
      </w:pPr>
      <w:r>
        <w:rPr>
          <w:rFonts w:hint="eastAsia" w:ascii="仿宋" w:hAnsi="仿宋" w:eastAsia="仿宋"/>
          <w:sz w:val="32"/>
          <w:szCs w:val="32"/>
        </w:rPr>
        <w:t>（五）负责应由区人民检察院承办的刑事、民事、行政诉讼活动及刑事、民事、行政判决和裁定等生效法律文书执行的法律监督工作。</w:t>
      </w:r>
    </w:p>
    <w:p>
      <w:pPr>
        <w:ind w:firstLine="640" w:firstLineChars="200"/>
        <w:jc w:val="left"/>
        <w:rPr>
          <w:rFonts w:ascii="仿宋" w:hAnsi="仿宋" w:eastAsia="仿宋"/>
          <w:sz w:val="32"/>
          <w:szCs w:val="32"/>
        </w:rPr>
      </w:pPr>
      <w:r>
        <w:rPr>
          <w:rFonts w:hint="eastAsia" w:ascii="仿宋" w:hAnsi="仿宋" w:eastAsia="仿宋"/>
          <w:sz w:val="32"/>
          <w:szCs w:val="32"/>
        </w:rPr>
        <w:t>（六）负责应由区人民检察院承办的提起公益诉讼工作。</w:t>
      </w:r>
    </w:p>
    <w:p>
      <w:pPr>
        <w:ind w:firstLine="640" w:firstLineChars="200"/>
        <w:jc w:val="left"/>
        <w:rPr>
          <w:rFonts w:ascii="仿宋" w:hAnsi="仿宋" w:eastAsia="仿宋"/>
          <w:sz w:val="32"/>
          <w:szCs w:val="32"/>
        </w:rPr>
      </w:pPr>
      <w:r>
        <w:rPr>
          <w:rFonts w:hint="eastAsia" w:ascii="仿宋" w:hAnsi="仿宋" w:eastAsia="仿宋"/>
          <w:sz w:val="32"/>
          <w:szCs w:val="32"/>
        </w:rPr>
        <w:t>（七）负责应由区人民检察院承办的对看守所、社区矫正机构等执法活动的法律监督工作。</w:t>
      </w:r>
    </w:p>
    <w:p>
      <w:pPr>
        <w:ind w:firstLine="640" w:firstLineChars="200"/>
        <w:jc w:val="left"/>
        <w:rPr>
          <w:rFonts w:ascii="仿宋" w:hAnsi="仿宋" w:eastAsia="仿宋"/>
          <w:sz w:val="32"/>
          <w:szCs w:val="32"/>
        </w:rPr>
      </w:pPr>
      <w:r>
        <w:rPr>
          <w:rFonts w:hint="eastAsia" w:ascii="仿宋" w:hAnsi="仿宋" w:eastAsia="仿宋"/>
          <w:sz w:val="32"/>
          <w:szCs w:val="32"/>
        </w:rPr>
        <w:t>（八）受理向区人民检察院的控告申诉。</w:t>
      </w:r>
    </w:p>
    <w:p>
      <w:pPr>
        <w:ind w:firstLine="640" w:firstLineChars="200"/>
        <w:jc w:val="left"/>
        <w:rPr>
          <w:rFonts w:ascii="仿宋" w:hAnsi="仿宋" w:eastAsia="仿宋"/>
          <w:sz w:val="32"/>
          <w:szCs w:val="32"/>
        </w:rPr>
      </w:pPr>
      <w:r>
        <w:rPr>
          <w:rFonts w:hint="eastAsia" w:ascii="仿宋" w:hAnsi="仿宋" w:eastAsia="仿宋"/>
          <w:sz w:val="32"/>
          <w:szCs w:val="32"/>
        </w:rPr>
        <w:t>（九）负责检察机关的理论研究工作。</w:t>
      </w:r>
    </w:p>
    <w:p>
      <w:pPr>
        <w:ind w:firstLine="640" w:firstLineChars="200"/>
        <w:jc w:val="left"/>
        <w:rPr>
          <w:rFonts w:ascii="仿宋" w:hAnsi="仿宋" w:eastAsia="仿宋"/>
          <w:sz w:val="32"/>
          <w:szCs w:val="32"/>
        </w:rPr>
      </w:pPr>
      <w:r>
        <w:rPr>
          <w:rFonts w:hint="eastAsia" w:ascii="仿宋" w:hAnsi="仿宋" w:eastAsia="仿宋"/>
          <w:sz w:val="32"/>
          <w:szCs w:val="32"/>
        </w:rPr>
        <w:t>（十）负责检察机关队伍建设和思想政治工作。</w:t>
      </w:r>
    </w:p>
    <w:p>
      <w:pPr>
        <w:ind w:firstLine="640" w:firstLineChars="200"/>
        <w:jc w:val="left"/>
        <w:rPr>
          <w:rFonts w:ascii="仿宋" w:hAnsi="仿宋" w:eastAsia="仿宋"/>
          <w:sz w:val="32"/>
          <w:szCs w:val="32"/>
        </w:rPr>
      </w:pPr>
      <w:r>
        <w:rPr>
          <w:rFonts w:hint="eastAsia" w:ascii="仿宋" w:hAnsi="仿宋" w:eastAsia="仿宋"/>
          <w:sz w:val="32"/>
          <w:szCs w:val="32"/>
        </w:rPr>
        <w:t>（十一）负责检务督察工作。</w:t>
      </w:r>
    </w:p>
    <w:p>
      <w:pPr>
        <w:ind w:firstLine="640" w:firstLineChars="200"/>
        <w:jc w:val="left"/>
        <w:rPr>
          <w:rFonts w:ascii="仿宋" w:hAnsi="仿宋" w:eastAsia="仿宋"/>
          <w:sz w:val="32"/>
          <w:szCs w:val="32"/>
        </w:rPr>
      </w:pPr>
      <w:r>
        <w:rPr>
          <w:rFonts w:hint="eastAsia" w:ascii="仿宋" w:hAnsi="仿宋" w:eastAsia="仿宋"/>
          <w:sz w:val="32"/>
          <w:szCs w:val="32"/>
        </w:rPr>
        <w:t>（十二）负责检察机关财务装备和检察技术信息工作。</w:t>
      </w:r>
    </w:p>
    <w:p>
      <w:pPr>
        <w:ind w:firstLine="640" w:firstLineChars="200"/>
        <w:jc w:val="left"/>
        <w:rPr>
          <w:rFonts w:ascii="仿宋" w:hAnsi="仿宋" w:eastAsia="仿宋"/>
          <w:sz w:val="32"/>
          <w:szCs w:val="32"/>
        </w:rPr>
      </w:pPr>
      <w:r>
        <w:rPr>
          <w:rFonts w:hint="eastAsia" w:ascii="仿宋" w:hAnsi="仿宋" w:eastAsia="仿宋"/>
          <w:sz w:val="32"/>
          <w:szCs w:val="32"/>
        </w:rPr>
        <w:t>（十三）负责其他应当由区人民检察院承办的事项。</w:t>
      </w:r>
    </w:p>
    <w:p>
      <w:pPr>
        <w:ind w:firstLine="640" w:firstLineChars="200"/>
        <w:jc w:val="lef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jc w:val="left"/>
        <w:rPr>
          <w:rFonts w:ascii="仿宋" w:hAnsi="仿宋" w:eastAsia="仿宋"/>
          <w:bCs/>
          <w:kern w:val="0"/>
          <w:sz w:val="32"/>
          <w:szCs w:val="32"/>
        </w:rPr>
      </w:pPr>
      <w:r>
        <w:rPr>
          <w:rFonts w:hint="eastAsia" w:ascii="仿宋" w:hAnsi="仿宋" w:eastAsia="仿宋"/>
          <w:bCs/>
          <w:kern w:val="0"/>
          <w:sz w:val="32"/>
          <w:szCs w:val="32"/>
        </w:rPr>
        <w:t>（一）内设机构设置。邵阳市大祥区人民检察院内设机构包括：1、办公室；2、第一检察部；3、第二检察部；4、第三检察部；5、政治部。</w:t>
      </w:r>
    </w:p>
    <w:p>
      <w:pPr>
        <w:ind w:firstLine="640" w:firstLineChars="200"/>
        <w:jc w:val="left"/>
        <w:rPr>
          <w:rFonts w:ascii="仿宋" w:hAnsi="仿宋" w:eastAsia="仿宋"/>
          <w:b/>
          <w:bCs/>
          <w:kern w:val="0"/>
          <w:sz w:val="32"/>
          <w:szCs w:val="32"/>
        </w:rPr>
      </w:pPr>
      <w:r>
        <w:rPr>
          <w:rFonts w:hint="eastAsia" w:ascii="仿宋" w:hAnsi="仿宋" w:eastAsia="仿宋"/>
          <w:bCs/>
          <w:kern w:val="0"/>
          <w:sz w:val="32"/>
          <w:szCs w:val="32"/>
        </w:rPr>
        <w:t>（二）决算单位构成。邵阳市大祥区人民检察院</w:t>
      </w:r>
      <w:r>
        <w:rPr>
          <w:rFonts w:ascii="仿宋" w:hAnsi="仿宋" w:eastAsia="仿宋"/>
          <w:bCs/>
          <w:kern w:val="0"/>
          <w:sz w:val="32"/>
          <w:szCs w:val="32"/>
        </w:rPr>
        <w:t>20</w:t>
      </w:r>
      <w:r>
        <w:rPr>
          <w:rFonts w:hint="eastAsia" w:ascii="仿宋" w:hAnsi="仿宋" w:eastAsia="仿宋"/>
          <w:bCs/>
          <w:kern w:val="0"/>
          <w:sz w:val="32"/>
          <w:szCs w:val="32"/>
        </w:rPr>
        <w:t>20年部门决算包含的主体范围是机关本级。</w:t>
      </w:r>
    </w:p>
    <w:p>
      <w:pPr>
        <w:widowControl/>
        <w:spacing w:line="600" w:lineRule="exact"/>
        <w:ind w:firstLine="640" w:firstLineChars="200"/>
        <w:rPr>
          <w:rFonts w:asciiTheme="minorEastAsia" w:hAnsiTheme="minorEastAsia"/>
          <w:bCs/>
          <w:kern w:val="0"/>
          <w:sz w:val="32"/>
          <w:szCs w:val="3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1440" w:right="1797" w:bottom="1440" w:left="1797"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200"/>
        <w:gridCol w:w="580"/>
        <w:gridCol w:w="426"/>
        <w:gridCol w:w="697"/>
        <w:gridCol w:w="232"/>
        <w:gridCol w:w="905"/>
        <w:gridCol w:w="4200"/>
        <w:gridCol w:w="580"/>
        <w:gridCol w:w="88"/>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pStyle w:val="6"/>
              <w:spacing w:before="0" w:beforeAutospacing="0"/>
              <w:jc w:val="center"/>
              <w:outlineLvl w:val="0"/>
              <w:rPr>
                <w:rStyle w:val="9"/>
                <w:rFonts w:ascii="黑体" w:hAnsi="黑体" w:eastAsia="黑体" w:cs="黑体"/>
                <w:sz w:val="44"/>
                <w:szCs w:val="44"/>
                <w:shd w:val="clear" w:color="auto" w:fill="FFFFFF"/>
              </w:rPr>
            </w:pPr>
            <w:r>
              <w:rPr>
                <w:rStyle w:val="9"/>
                <w:rFonts w:hint="eastAsia" w:ascii="黑体" w:hAnsi="黑体" w:eastAsia="黑体" w:cs="黑体"/>
                <w:sz w:val="44"/>
                <w:szCs w:val="44"/>
                <w:shd w:val="clear" w:color="auto" w:fill="FFFFFF"/>
              </w:rPr>
              <w:t>第二部分 2020年度部门决算表</w:t>
            </w:r>
          </w:p>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收入支出决算总表</w:t>
            </w:r>
          </w:p>
        </w:tc>
      </w:tr>
      <w:tr>
        <w:tblPrEx>
          <w:tblCellMar>
            <w:top w:w="0" w:type="dxa"/>
            <w:left w:w="108" w:type="dxa"/>
            <w:bottom w:w="0" w:type="dxa"/>
            <w:right w:w="108" w:type="dxa"/>
          </w:tblCellMar>
        </w:tblPrEx>
        <w:trPr>
          <w:trHeight w:val="300" w:hRule="atLeast"/>
        </w:trPr>
        <w:tc>
          <w:tcPr>
            <w:tcW w:w="42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2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1" w:type="dxa"/>
            <w:gridSpan w:val="3"/>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公开01表</w:t>
            </w:r>
          </w:p>
        </w:tc>
      </w:tr>
      <w:tr>
        <w:tblPrEx>
          <w:tblCellMar>
            <w:top w:w="0" w:type="dxa"/>
            <w:left w:w="108" w:type="dxa"/>
            <w:bottom w:w="0" w:type="dxa"/>
            <w:right w:w="108" w:type="dxa"/>
          </w:tblCellMar>
        </w:tblPrEx>
        <w:trPr>
          <w:trHeight w:val="300" w:hRule="atLeast"/>
        </w:trPr>
        <w:tc>
          <w:tcPr>
            <w:tcW w:w="42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部门：邵阳市大祥区人民检察院</w:t>
            </w:r>
          </w:p>
        </w:tc>
        <w:tc>
          <w:tcPr>
            <w:tcW w:w="58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4"/>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2020年度</w:t>
            </w:r>
          </w:p>
        </w:tc>
        <w:tc>
          <w:tcPr>
            <w:tcW w:w="42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1" w:type="dxa"/>
            <w:gridSpan w:val="3"/>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7040" w:type="dxa"/>
            <w:gridSpan w:val="6"/>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7041" w:type="dxa"/>
            <w:gridSpan w:val="5"/>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260"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261" w:type="dxa"/>
            <w:gridSpan w:val="3"/>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60"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261" w:type="dxa"/>
            <w:gridSpan w:val="3"/>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1,416.85</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1,076.41</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129.00</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79.00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48.93</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70.00</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1,545.85</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1,274.34</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8.41</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279.92</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20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80" w:type="dxa"/>
            <w:tcBorders>
              <w:top w:val="nil"/>
              <w:left w:val="nil"/>
              <w:bottom w:val="single" w:color="000000" w:sz="12"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2260"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1,554.26</w:t>
            </w:r>
          </w:p>
        </w:tc>
        <w:tc>
          <w:tcPr>
            <w:tcW w:w="42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2261"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1,554.26</w:t>
            </w:r>
          </w:p>
        </w:tc>
      </w:tr>
      <w:tr>
        <w:tblPrEx>
          <w:tblCellMar>
            <w:top w:w="0" w:type="dxa"/>
            <w:left w:w="108" w:type="dxa"/>
            <w:bottom w:w="0" w:type="dxa"/>
            <w:right w:w="108" w:type="dxa"/>
          </w:tblCellMar>
        </w:tblPrEx>
        <w:trPr>
          <w:trHeight w:val="300" w:hRule="atLeast"/>
        </w:trPr>
        <w:tc>
          <w:tcPr>
            <w:tcW w:w="14081" w:type="dxa"/>
            <w:gridSpan w:val="11"/>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注：本表反映部门本年度的总收支和年末结转结余情况。本套报表金额单位转换时可能存在尾数误差。</w:t>
            </w:r>
          </w:p>
        </w:tc>
      </w:tr>
      <w:tr>
        <w:tblPrEx>
          <w:tblCellMar>
            <w:top w:w="0" w:type="dxa"/>
            <w:left w:w="108" w:type="dxa"/>
            <w:bottom w:w="0" w:type="dxa"/>
            <w:right w:w="108" w:type="dxa"/>
          </w:tblCellMar>
        </w:tblPrEx>
        <w:trPr>
          <w:trHeight w:val="300" w:hRule="atLeast"/>
        </w:trPr>
        <w:tc>
          <w:tcPr>
            <w:tcW w:w="14081" w:type="dxa"/>
            <w:gridSpan w:val="11"/>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577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4400" w:type="dxa"/>
        <w:tblInd w:w="0" w:type="dxa"/>
        <w:tblLayout w:type="autofit"/>
        <w:tblCellMar>
          <w:top w:w="0" w:type="dxa"/>
          <w:left w:w="0" w:type="dxa"/>
          <w:bottom w:w="0" w:type="dxa"/>
          <w:right w:w="0" w:type="dxa"/>
        </w:tblCellMar>
      </w:tblPr>
      <w:tblGrid>
        <w:gridCol w:w="1856"/>
        <w:gridCol w:w="1037"/>
        <w:gridCol w:w="212"/>
        <w:gridCol w:w="212"/>
        <w:gridCol w:w="212"/>
        <w:gridCol w:w="5186"/>
        <w:gridCol w:w="212"/>
        <w:gridCol w:w="212"/>
        <w:gridCol w:w="212"/>
        <w:gridCol w:w="6072"/>
      </w:tblGrid>
      <w:tr>
        <w:tblPrEx>
          <w:tblCellMar>
            <w:top w:w="0" w:type="dxa"/>
            <w:left w:w="0" w:type="dxa"/>
            <w:bottom w:w="0" w:type="dxa"/>
            <w:right w:w="0" w:type="dxa"/>
          </w:tblCellMar>
        </w:tblPrEx>
        <w:trPr>
          <w:trHeight w:val="435" w:hRule="atLeast"/>
        </w:trPr>
        <w:tc>
          <w:tcPr>
            <w:tcW w:w="144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黑体" w:hAnsi="黑体" w:eastAsia="黑体" w:cs="宋体"/>
                <w:color w:val="000000"/>
                <w:sz w:val="32"/>
                <w:szCs w:val="32"/>
              </w:rPr>
            </w:pPr>
            <w:r>
              <w:rPr>
                <w:rFonts w:hint="eastAsia" w:ascii="黑体" w:hAnsi="黑体" w:eastAsia="黑体"/>
                <w:color w:val="000000"/>
                <w:sz w:val="32"/>
                <w:szCs w:val="32"/>
              </w:rPr>
              <w:t>收入决算表</w:t>
            </w:r>
          </w:p>
        </w:tc>
      </w:tr>
      <w:tr>
        <w:tblPrEx>
          <w:tblCellMar>
            <w:top w:w="0" w:type="dxa"/>
            <w:left w:w="0" w:type="dxa"/>
            <w:bottom w:w="0" w:type="dxa"/>
            <w:right w:w="0" w:type="dxa"/>
          </w:tblCellMar>
        </w:tblPrEx>
        <w:trPr>
          <w:trHeight w:val="285"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6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部门：邵阳市大祥区人民检察院</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2020年度</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615" w:hRule="atLeast"/>
        </w:trPr>
        <w:tc>
          <w:tcPr>
            <w:tcW w:w="14400" w:type="dxa"/>
            <w:gridSpan w:val="10"/>
            <w:tcBorders>
              <w:top w:val="nil"/>
              <w:left w:val="nil"/>
              <w:bottom w:val="nil"/>
              <w:right w:val="nil"/>
            </w:tcBorders>
            <w:shd w:val="clear" w:color="auto" w:fill="auto"/>
            <w:tcMar>
              <w:top w:w="15" w:type="dxa"/>
              <w:left w:w="15" w:type="dxa"/>
              <w:bottom w:w="0" w:type="dxa"/>
              <w:right w:w="15" w:type="dxa"/>
            </w:tcMar>
            <w:vAlign w:val="center"/>
          </w:tcPr>
          <w:tbl>
            <w:tblPr>
              <w:tblStyle w:val="7"/>
              <w:tblW w:w="15388" w:type="dxa"/>
              <w:tblInd w:w="0" w:type="dxa"/>
              <w:tblLayout w:type="autofit"/>
              <w:tblCellMar>
                <w:top w:w="0" w:type="dxa"/>
                <w:left w:w="108" w:type="dxa"/>
                <w:bottom w:w="0" w:type="dxa"/>
                <w:right w:w="108" w:type="dxa"/>
              </w:tblCellMar>
            </w:tblPr>
            <w:tblGrid>
              <w:gridCol w:w="910"/>
              <w:gridCol w:w="219"/>
              <w:gridCol w:w="3191"/>
              <w:gridCol w:w="1582"/>
              <w:gridCol w:w="1581"/>
              <w:gridCol w:w="1581"/>
              <w:gridCol w:w="1581"/>
              <w:gridCol w:w="1581"/>
              <w:gridCol w:w="1581"/>
              <w:gridCol w:w="1581"/>
            </w:tblGrid>
            <w:tr>
              <w:tblPrEx>
                <w:tblCellMar>
                  <w:top w:w="0" w:type="dxa"/>
                  <w:left w:w="108" w:type="dxa"/>
                  <w:bottom w:w="0" w:type="dxa"/>
                  <w:right w:w="108" w:type="dxa"/>
                </w:tblCellMar>
              </w:tblPrEx>
              <w:trPr>
                <w:trHeight w:val="300" w:hRule="atLeast"/>
              </w:trPr>
              <w:tc>
                <w:tcPr>
                  <w:tcW w:w="43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582"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1581"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1581"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1581"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1581"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1581"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1581"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blPrEx>
                <w:tblCellMar>
                  <w:top w:w="0" w:type="dxa"/>
                  <w:left w:w="108" w:type="dxa"/>
                  <w:bottom w:w="0" w:type="dxa"/>
                  <w:right w:w="108" w:type="dxa"/>
                </w:tblCellMar>
              </w:tblPrEx>
              <w:trPr>
                <w:trHeight w:val="312" w:hRule="atLeast"/>
              </w:trPr>
              <w:tc>
                <w:tcPr>
                  <w:tcW w:w="910"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410" w:type="dxa"/>
                  <w:gridSpan w:val="2"/>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58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9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41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91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41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3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582"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58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58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58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58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58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58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r>
            <w:tr>
              <w:tblPrEx>
                <w:tblCellMar>
                  <w:top w:w="0" w:type="dxa"/>
                  <w:left w:w="108" w:type="dxa"/>
                  <w:bottom w:w="0" w:type="dxa"/>
                  <w:right w:w="108" w:type="dxa"/>
                </w:tblCellMar>
              </w:tblPrEx>
              <w:trPr>
                <w:trHeight w:val="300" w:hRule="atLeast"/>
              </w:trPr>
              <w:tc>
                <w:tcPr>
                  <w:tcW w:w="432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5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1,545.85</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1,416.85</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129.00</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w:t>
                  </w:r>
                </w:p>
              </w:tc>
              <w:tc>
                <w:tcPr>
                  <w:tcW w:w="319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公共安全支出</w:t>
                  </w:r>
                </w:p>
              </w:tc>
              <w:tc>
                <w:tcPr>
                  <w:tcW w:w="158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1,347.92</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1,218.92</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129.00</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20404</w:t>
                  </w:r>
                </w:p>
              </w:tc>
              <w:tc>
                <w:tcPr>
                  <w:tcW w:w="319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检察</w:t>
                  </w:r>
                </w:p>
              </w:tc>
              <w:tc>
                <w:tcPr>
                  <w:tcW w:w="158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1,347.92</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1,218.92</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129.00</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2040401</w:t>
                  </w:r>
                </w:p>
              </w:tc>
              <w:tc>
                <w:tcPr>
                  <w:tcW w:w="3191"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5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973.24</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844.25</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129.00</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2040402</w:t>
                  </w:r>
                </w:p>
              </w:tc>
              <w:tc>
                <w:tcPr>
                  <w:tcW w:w="3191"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5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355.67</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355.67</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2040410</w:t>
                  </w:r>
                </w:p>
              </w:tc>
              <w:tc>
                <w:tcPr>
                  <w:tcW w:w="3191"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检察监督</w:t>
                  </w:r>
                </w:p>
              </w:tc>
              <w:tc>
                <w:tcPr>
                  <w:tcW w:w="15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19.00</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19.00</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19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58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79.00</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79.00</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19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58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191"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5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72.00</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72.00</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319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其他社会保障和就业支出</w:t>
                  </w:r>
                </w:p>
              </w:tc>
              <w:tc>
                <w:tcPr>
                  <w:tcW w:w="158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2089901</w:t>
                  </w:r>
                </w:p>
              </w:tc>
              <w:tc>
                <w:tcPr>
                  <w:tcW w:w="3191"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15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19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58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48.93</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48.93</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19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58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48.93</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48.93</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3191"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15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33.00</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33.00</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3191"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15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15.93</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15.93</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19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58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70.00</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70.00</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191"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58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70.00</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70.00</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8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129" w:type="dxa"/>
                  <w:gridSpan w:val="2"/>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191"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5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70.00</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70.00</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5388"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p>
              </w:tc>
            </w:tr>
          </w:tbl>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7"/>
        <w:tblW w:w="14400" w:type="dxa"/>
        <w:tblInd w:w="0" w:type="dxa"/>
        <w:tblLayout w:type="autofit"/>
        <w:tblCellMar>
          <w:top w:w="0" w:type="dxa"/>
          <w:left w:w="0" w:type="dxa"/>
          <w:bottom w:w="0" w:type="dxa"/>
          <w:right w:w="0" w:type="dxa"/>
        </w:tblCellMar>
      </w:tblPr>
      <w:tblGrid>
        <w:gridCol w:w="1855"/>
        <w:gridCol w:w="1037"/>
        <w:gridCol w:w="212"/>
        <w:gridCol w:w="213"/>
        <w:gridCol w:w="213"/>
        <w:gridCol w:w="5184"/>
        <w:gridCol w:w="213"/>
        <w:gridCol w:w="213"/>
        <w:gridCol w:w="213"/>
        <w:gridCol w:w="6069"/>
        <w:gridCol w:w="6"/>
      </w:tblGrid>
      <w:tr>
        <w:tblPrEx>
          <w:tblCellMar>
            <w:top w:w="0" w:type="dxa"/>
            <w:left w:w="0" w:type="dxa"/>
            <w:bottom w:w="0" w:type="dxa"/>
            <w:right w:w="0" w:type="dxa"/>
          </w:tblCellMar>
        </w:tblPrEx>
        <w:trPr>
          <w:gridAfter w:val="1"/>
          <w:wAfter w:w="6" w:type="dxa"/>
          <w:trHeight w:val="435" w:hRule="atLeast"/>
        </w:trPr>
        <w:tc>
          <w:tcPr>
            <w:tcW w:w="144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黑体" w:hAnsi="黑体" w:eastAsia="黑体" w:cs="宋体"/>
                <w:color w:val="000000"/>
                <w:sz w:val="32"/>
                <w:szCs w:val="32"/>
              </w:rPr>
            </w:pPr>
            <w:r>
              <w:rPr>
                <w:rFonts w:hint="eastAsia" w:ascii="黑体" w:hAnsi="黑体" w:eastAsia="黑体"/>
                <w:color w:val="000000"/>
                <w:sz w:val="32"/>
                <w:szCs w:val="32"/>
              </w:rPr>
              <w:t>支出决算表</w:t>
            </w:r>
          </w:p>
        </w:tc>
      </w:tr>
      <w:tr>
        <w:tblPrEx>
          <w:tblCellMar>
            <w:top w:w="0" w:type="dxa"/>
            <w:left w:w="0" w:type="dxa"/>
            <w:bottom w:w="0" w:type="dxa"/>
            <w:right w:w="0" w:type="dxa"/>
          </w:tblCellMar>
        </w:tblPrEx>
        <w:trPr>
          <w:gridAfter w:val="1"/>
          <w:wAfter w:w="6" w:type="dxa"/>
          <w:trHeight w:val="285" w:hRule="atLeast"/>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公开03表</w:t>
            </w:r>
          </w:p>
        </w:tc>
      </w:tr>
      <w:tr>
        <w:tblPrEx>
          <w:tblCellMar>
            <w:top w:w="0" w:type="dxa"/>
            <w:left w:w="0" w:type="dxa"/>
            <w:bottom w:w="0" w:type="dxa"/>
            <w:right w:w="0" w:type="dxa"/>
          </w:tblCellMar>
        </w:tblPrEx>
        <w:trPr>
          <w:gridAfter w:val="1"/>
          <w:wAfter w:w="6" w:type="dxa"/>
          <w:trHeight w:val="285" w:hRule="atLeast"/>
        </w:trPr>
        <w:tc>
          <w:tcPr>
            <w:tcW w:w="6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部门：邵阳市大祥区人民检察院</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2020年度</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108" w:type="dxa"/>
            <w:bottom w:w="0" w:type="dxa"/>
            <w:right w:w="108" w:type="dxa"/>
          </w:tblCellMar>
        </w:tblPrEx>
        <w:trPr>
          <w:trHeight w:val="630" w:hRule="atLeast"/>
        </w:trPr>
        <w:tc>
          <w:tcPr>
            <w:tcW w:w="15521" w:type="dxa"/>
            <w:gridSpan w:val="11"/>
            <w:tcBorders>
              <w:top w:val="nil"/>
              <w:left w:val="nil"/>
              <w:bottom w:val="nil"/>
              <w:right w:val="nil"/>
            </w:tcBorders>
            <w:shd w:val="clear" w:color="auto" w:fill="auto"/>
            <w:vAlign w:val="center"/>
          </w:tcPr>
          <w:tbl>
            <w:tblPr>
              <w:tblStyle w:val="7"/>
              <w:tblW w:w="15740" w:type="dxa"/>
              <w:tblInd w:w="0" w:type="dxa"/>
              <w:tblLayout w:type="autofit"/>
              <w:tblCellMar>
                <w:top w:w="0" w:type="dxa"/>
                <w:left w:w="108" w:type="dxa"/>
                <w:bottom w:w="0" w:type="dxa"/>
                <w:right w:w="108" w:type="dxa"/>
              </w:tblCellMar>
            </w:tblPr>
            <w:tblGrid>
              <w:gridCol w:w="988"/>
              <w:gridCol w:w="3779"/>
              <w:gridCol w:w="1740"/>
              <w:gridCol w:w="1740"/>
              <w:gridCol w:w="1740"/>
              <w:gridCol w:w="1740"/>
              <w:gridCol w:w="1740"/>
              <w:gridCol w:w="1740"/>
            </w:tblGrid>
            <w:tr>
              <w:tblPrEx>
                <w:tblCellMar>
                  <w:top w:w="0" w:type="dxa"/>
                  <w:left w:w="108" w:type="dxa"/>
                  <w:bottom w:w="0" w:type="dxa"/>
                  <w:right w:w="108" w:type="dxa"/>
                </w:tblCellMar>
              </w:tblPrEx>
              <w:trPr>
                <w:trHeight w:val="300" w:hRule="atLeast"/>
              </w:trPr>
              <w:tc>
                <w:tcPr>
                  <w:tcW w:w="4940"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8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18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8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8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上缴上级支出</w:t>
                  </w:r>
                </w:p>
              </w:tc>
              <w:tc>
                <w:tcPr>
                  <w:tcW w:w="18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经营支出</w:t>
                  </w:r>
                </w:p>
              </w:tc>
              <w:tc>
                <w:tcPr>
                  <w:tcW w:w="18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1020"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940"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80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80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80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80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80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80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4940"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1,274.34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1,185.25</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89.08</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公共安全支出</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1,076.41</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987.32</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89.08</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20404</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检察</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1,076.41</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987.32</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89.08</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2040401</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968.32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968.32</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2040402</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89.08</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89.08</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2040410</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检察监督</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其他社会保障和就业支出</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2089901</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48.93</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48.93</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48.93</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48.93</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15.93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15.93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70.00</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273"/>
        <w:gridCol w:w="800"/>
        <w:gridCol w:w="43"/>
        <w:gridCol w:w="43"/>
        <w:gridCol w:w="43"/>
        <w:gridCol w:w="436"/>
        <w:gridCol w:w="1548"/>
        <w:gridCol w:w="1672"/>
        <w:gridCol w:w="1671"/>
        <w:gridCol w:w="439"/>
        <w:gridCol w:w="1502"/>
        <w:gridCol w:w="1339"/>
        <w:gridCol w:w="1339"/>
        <w:gridCol w:w="1373"/>
      </w:tblGrid>
      <w:tr>
        <w:tblPrEx>
          <w:tblCellMar>
            <w:top w:w="0" w:type="dxa"/>
            <w:left w:w="108" w:type="dxa"/>
            <w:bottom w:w="0" w:type="dxa"/>
            <w:right w:w="108" w:type="dxa"/>
          </w:tblCellMar>
        </w:tblPrEx>
        <w:trPr>
          <w:trHeight w:val="285" w:hRule="atLeast"/>
        </w:trPr>
        <w:tc>
          <w:tcPr>
            <w:tcW w:w="4019" w:type="dxa"/>
            <w:gridSpan w:val="5"/>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2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42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2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5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5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gridAfter w:val="1"/>
          <w:wAfter w:w="1181" w:type="dxa"/>
          <w:trHeight w:val="435" w:hRule="atLeast"/>
        </w:trPr>
        <w:tc>
          <w:tcPr>
            <w:tcW w:w="14340" w:type="dxa"/>
            <w:gridSpan w:val="13"/>
            <w:tcBorders>
              <w:top w:val="nil"/>
              <w:left w:val="nil"/>
              <w:bottom w:val="nil"/>
              <w:right w:val="nil"/>
            </w:tcBorders>
            <w:shd w:val="clear" w:color="auto" w:fill="auto"/>
            <w:noWrap/>
            <w:tcMar>
              <w:top w:w="15" w:type="dxa"/>
              <w:left w:w="15" w:type="dxa"/>
              <w:bottom w:w="0" w:type="dxa"/>
              <w:right w:w="15" w:type="dxa"/>
            </w:tcMar>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kern w:val="0"/>
                <w:sz w:val="32"/>
                <w:szCs w:val="32"/>
              </w:rPr>
              <w:t>财政拨款收入支出决算总表</w:t>
            </w:r>
          </w:p>
        </w:tc>
      </w:tr>
      <w:tr>
        <w:tblPrEx>
          <w:tblCellMar>
            <w:top w:w="0" w:type="dxa"/>
            <w:left w:w="0" w:type="dxa"/>
            <w:bottom w:w="0" w:type="dxa"/>
            <w:right w:w="0" w:type="dxa"/>
          </w:tblCellMar>
        </w:tblPrEx>
        <w:trPr>
          <w:gridAfter w:val="1"/>
          <w:wAfter w:w="1181" w:type="dxa"/>
          <w:trHeight w:val="285" w:hRule="atLeast"/>
        </w:trPr>
        <w:tc>
          <w:tcPr>
            <w:tcW w:w="29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 xml:space="preserve"> 公开04表</w:t>
            </w:r>
          </w:p>
        </w:tc>
      </w:tr>
      <w:tr>
        <w:tblPrEx>
          <w:tblCellMar>
            <w:top w:w="0" w:type="dxa"/>
            <w:left w:w="0" w:type="dxa"/>
            <w:bottom w:w="0" w:type="dxa"/>
            <w:right w:w="0" w:type="dxa"/>
          </w:tblCellMar>
        </w:tblPrEx>
        <w:trPr>
          <w:gridAfter w:val="1"/>
          <w:wAfter w:w="1181" w:type="dxa"/>
          <w:trHeight w:val="285" w:hRule="atLeast"/>
        </w:trPr>
        <w:tc>
          <w:tcPr>
            <w:tcW w:w="382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部门：邵阳市大祥区人民检察院</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2020年度</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108" w:type="dxa"/>
            <w:bottom w:w="0" w:type="dxa"/>
            <w:right w:w="108" w:type="dxa"/>
          </w:tblCellMar>
        </w:tblPrEx>
        <w:trPr>
          <w:trHeight w:val="585" w:hRule="atLeast"/>
        </w:trPr>
        <w:tc>
          <w:tcPr>
            <w:tcW w:w="15521" w:type="dxa"/>
            <w:gridSpan w:val="14"/>
            <w:tcBorders>
              <w:top w:val="nil"/>
              <w:left w:val="nil"/>
              <w:bottom w:val="nil"/>
              <w:right w:val="nil"/>
            </w:tcBorders>
            <w:shd w:val="clear" w:color="auto" w:fill="auto"/>
            <w:vAlign w:val="center"/>
          </w:tcPr>
          <w:tbl>
            <w:tblPr>
              <w:tblStyle w:val="7"/>
              <w:tblW w:w="16620" w:type="dxa"/>
              <w:tblInd w:w="0" w:type="dxa"/>
              <w:tblLayout w:type="autofit"/>
              <w:tblCellMar>
                <w:top w:w="0" w:type="dxa"/>
                <w:left w:w="108" w:type="dxa"/>
                <w:bottom w:w="0" w:type="dxa"/>
                <w:right w:w="108" w:type="dxa"/>
              </w:tblCellMar>
            </w:tblPr>
            <w:tblGrid>
              <w:gridCol w:w="3004"/>
              <w:gridCol w:w="547"/>
              <w:gridCol w:w="1548"/>
              <w:gridCol w:w="4336"/>
              <w:gridCol w:w="545"/>
              <w:gridCol w:w="1095"/>
              <w:gridCol w:w="1640"/>
              <w:gridCol w:w="1253"/>
              <w:gridCol w:w="1332"/>
            </w:tblGrid>
            <w:tr>
              <w:tblPrEx>
                <w:tblCellMar>
                  <w:top w:w="0" w:type="dxa"/>
                  <w:left w:w="108" w:type="dxa"/>
                  <w:bottom w:w="0" w:type="dxa"/>
                  <w:right w:w="108" w:type="dxa"/>
                </w:tblCellMar>
              </w:tblPrEx>
              <w:trPr>
                <w:trHeight w:val="300" w:hRule="atLeast"/>
              </w:trPr>
              <w:tc>
                <w:tcPr>
                  <w:tcW w:w="554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11080" w:type="dxa"/>
                  <w:gridSpan w:val="6"/>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trHeight w:val="312" w:hRule="atLeast"/>
              </w:trPr>
              <w:tc>
                <w:tcPr>
                  <w:tcW w:w="3280"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8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68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743" w:type="dxa"/>
                  <w:vMerge w:val="restart"/>
                  <w:tcBorders>
                    <w:top w:val="nil"/>
                    <w:left w:val="nil"/>
                    <w:bottom w:val="single" w:color="000000" w:sz="4" w:space="0"/>
                    <w:right w:val="single" w:color="000000" w:sz="4" w:space="0"/>
                  </w:tcBorders>
                  <w:shd w:val="clear" w:color="000000" w:fill="C0C0C0"/>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77"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182" w:type="dxa"/>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781"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356"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1441"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32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74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7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8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78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5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4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6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743" w:type="dxa"/>
                  <w:tcBorders>
                    <w:top w:val="nil"/>
                    <w:left w:val="nil"/>
                    <w:bottom w:val="single" w:color="000000" w:sz="4" w:space="0"/>
                    <w:right w:val="single" w:color="000000" w:sz="4" w:space="0"/>
                  </w:tcBorders>
                  <w:shd w:val="clear" w:color="000000" w:fill="C0C0C0"/>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182"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781"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35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441"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1,416.85</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三、国有资本经营财政拨款</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947.41</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947.41</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79.00</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79.00</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48.93</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48.93</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70.00</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70.00</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1,416.85</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1,145.34</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1,145.34</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8.41</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279.92</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279.92</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8.41</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国有资本经营预算财政拨款</w:t>
                  </w:r>
                </w:p>
              </w:tc>
              <w:tc>
                <w:tcPr>
                  <w:tcW w:w="58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80" w:type="dxa"/>
                  <w:tcBorders>
                    <w:top w:val="nil"/>
                    <w:left w:val="nil"/>
                    <w:bottom w:val="single" w:color="000000" w:sz="12"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1,425.26</w:t>
                  </w:r>
                </w:p>
              </w:tc>
              <w:tc>
                <w:tcPr>
                  <w:tcW w:w="4743"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77"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118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1,425.26</w:t>
                  </w:r>
                </w:p>
              </w:tc>
              <w:tc>
                <w:tcPr>
                  <w:tcW w:w="178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1,425.26</w:t>
                  </w:r>
                </w:p>
              </w:tc>
              <w:tc>
                <w:tcPr>
                  <w:tcW w:w="135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4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tbl>
      <w:tblPr>
        <w:tblStyle w:val="7"/>
        <w:tblW w:w="15521" w:type="dxa"/>
        <w:tblInd w:w="93" w:type="dxa"/>
        <w:tblLayout w:type="autofit"/>
        <w:tblCellMar>
          <w:top w:w="0" w:type="dxa"/>
          <w:left w:w="0" w:type="dxa"/>
          <w:bottom w:w="0" w:type="dxa"/>
          <w:right w:w="0" w:type="dxa"/>
        </w:tblCellMar>
      </w:tblPr>
      <w:tblGrid>
        <w:gridCol w:w="8986"/>
        <w:gridCol w:w="1423"/>
        <w:gridCol w:w="110"/>
        <w:gridCol w:w="110"/>
        <w:gridCol w:w="110"/>
        <w:gridCol w:w="110"/>
        <w:gridCol w:w="110"/>
        <w:gridCol w:w="110"/>
        <w:gridCol w:w="110"/>
        <w:gridCol w:w="3161"/>
        <w:gridCol w:w="1181"/>
      </w:tblGrid>
      <w:tr>
        <w:tblPrEx>
          <w:tblCellMar>
            <w:top w:w="0" w:type="dxa"/>
            <w:left w:w="0" w:type="dxa"/>
            <w:bottom w:w="0" w:type="dxa"/>
            <w:right w:w="0" w:type="dxa"/>
          </w:tblCellMar>
        </w:tblPrEx>
        <w:trPr>
          <w:gridAfter w:val="1"/>
          <w:wAfter w:w="1181" w:type="dxa"/>
          <w:trHeight w:val="435" w:hRule="atLeast"/>
        </w:trPr>
        <w:tc>
          <w:tcPr>
            <w:tcW w:w="1434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widowControl/>
              <w:jc w:val="center"/>
              <w:rPr>
                <w:rFonts w:ascii="黑体" w:hAnsi="黑体" w:eastAsia="黑体" w:cs="宋体"/>
                <w:color w:val="000000"/>
                <w:sz w:val="32"/>
                <w:szCs w:val="32"/>
              </w:rPr>
            </w:pPr>
            <w:r>
              <w:rPr>
                <w:rFonts w:hint="eastAsia" w:ascii="黑体" w:hAnsi="黑体" w:eastAsia="黑体" w:cs="宋体"/>
                <w:color w:val="000000"/>
                <w:kern w:val="0"/>
                <w:sz w:val="32"/>
                <w:szCs w:val="32"/>
              </w:rPr>
              <w:t>一般公共预算财政拨款支出决算表</w:t>
            </w:r>
          </w:p>
        </w:tc>
      </w:tr>
      <w:tr>
        <w:tblPrEx>
          <w:tblCellMar>
            <w:top w:w="0" w:type="dxa"/>
            <w:left w:w="0" w:type="dxa"/>
            <w:bottom w:w="0" w:type="dxa"/>
            <w:right w:w="0" w:type="dxa"/>
          </w:tblCellMar>
        </w:tblPrEx>
        <w:trPr>
          <w:gridAfter w:val="1"/>
          <w:wAfter w:w="1181" w:type="dxa"/>
          <w:trHeight w:val="285" w:hRule="atLeast"/>
        </w:trPr>
        <w:tc>
          <w:tcPr>
            <w:tcW w:w="29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公开05表</w:t>
            </w:r>
          </w:p>
        </w:tc>
      </w:tr>
      <w:tr>
        <w:tblPrEx>
          <w:tblCellMar>
            <w:top w:w="0" w:type="dxa"/>
            <w:left w:w="0" w:type="dxa"/>
            <w:bottom w:w="0" w:type="dxa"/>
            <w:right w:w="0" w:type="dxa"/>
          </w:tblCellMar>
        </w:tblPrEx>
        <w:trPr>
          <w:gridAfter w:val="1"/>
          <w:wAfter w:w="1181" w:type="dxa"/>
          <w:trHeight w:val="285" w:hRule="atLeast"/>
        </w:trPr>
        <w:tc>
          <w:tcPr>
            <w:tcW w:w="382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部门：邵阳市大祥区人民检察院                             2020年度</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108" w:type="dxa"/>
            <w:bottom w:w="0" w:type="dxa"/>
            <w:right w:w="108" w:type="dxa"/>
          </w:tblCellMar>
        </w:tblPrEx>
        <w:trPr>
          <w:trHeight w:val="645" w:hRule="atLeast"/>
          <w:jc w:val="center"/>
        </w:trPr>
        <w:tc>
          <w:tcPr>
            <w:tcW w:w="14219" w:type="dxa"/>
            <w:gridSpan w:val="11"/>
            <w:tcBorders>
              <w:top w:val="nil"/>
              <w:left w:val="nil"/>
              <w:bottom w:val="nil"/>
              <w:right w:val="nil"/>
            </w:tcBorders>
            <w:shd w:val="clear" w:color="auto" w:fill="auto"/>
            <w:vAlign w:val="center"/>
          </w:tcPr>
          <w:tbl>
            <w:tblPr>
              <w:tblStyle w:val="7"/>
              <w:tblW w:w="14408" w:type="dxa"/>
              <w:tblInd w:w="0" w:type="dxa"/>
              <w:tblLayout w:type="autofit"/>
              <w:tblCellMar>
                <w:top w:w="0" w:type="dxa"/>
                <w:left w:w="108" w:type="dxa"/>
                <w:bottom w:w="0" w:type="dxa"/>
                <w:right w:w="108" w:type="dxa"/>
              </w:tblCellMar>
            </w:tblPr>
            <w:tblGrid>
              <w:gridCol w:w="1020"/>
              <w:gridCol w:w="5592"/>
              <w:gridCol w:w="1984"/>
              <w:gridCol w:w="2410"/>
              <w:gridCol w:w="3402"/>
            </w:tblGrid>
            <w:tr>
              <w:tblPrEx>
                <w:tblCellMar>
                  <w:top w:w="0" w:type="dxa"/>
                  <w:left w:w="108" w:type="dxa"/>
                  <w:bottom w:w="0" w:type="dxa"/>
                  <w:right w:w="108" w:type="dxa"/>
                </w:tblCellMar>
              </w:tblPrEx>
              <w:trPr>
                <w:trHeight w:val="300" w:hRule="atLeast"/>
              </w:trPr>
              <w:tc>
                <w:tcPr>
                  <w:tcW w:w="6612"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796" w:type="dxa"/>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1020"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5592" w:type="dxa"/>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984"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241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3402"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5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41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4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5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41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4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6612"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984"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410"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3402"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0" w:hRule="atLeast"/>
              </w:trPr>
              <w:tc>
                <w:tcPr>
                  <w:tcW w:w="6612"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9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1,145.34</w:t>
                  </w:r>
                </w:p>
              </w:tc>
              <w:tc>
                <w:tcPr>
                  <w:tcW w:w="24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1,056.26</w:t>
                  </w:r>
                </w:p>
              </w:tc>
              <w:tc>
                <w:tcPr>
                  <w:tcW w:w="34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89.08</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w:t>
                  </w:r>
                </w:p>
              </w:tc>
              <w:tc>
                <w:tcPr>
                  <w:tcW w:w="559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公共安全支出</w:t>
                  </w:r>
                </w:p>
              </w:tc>
              <w:tc>
                <w:tcPr>
                  <w:tcW w:w="1984"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947.41</w:t>
                  </w:r>
                </w:p>
              </w:tc>
              <w:tc>
                <w:tcPr>
                  <w:tcW w:w="241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858.33</w:t>
                  </w:r>
                </w:p>
              </w:tc>
              <w:tc>
                <w:tcPr>
                  <w:tcW w:w="340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89.08</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20404</w:t>
                  </w:r>
                </w:p>
              </w:tc>
              <w:tc>
                <w:tcPr>
                  <w:tcW w:w="559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检察</w:t>
                  </w:r>
                </w:p>
              </w:tc>
              <w:tc>
                <w:tcPr>
                  <w:tcW w:w="1984"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947.41</w:t>
                  </w:r>
                </w:p>
              </w:tc>
              <w:tc>
                <w:tcPr>
                  <w:tcW w:w="241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858.33</w:t>
                  </w:r>
                </w:p>
              </w:tc>
              <w:tc>
                <w:tcPr>
                  <w:tcW w:w="340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89.08</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2040401</w:t>
                  </w:r>
                </w:p>
              </w:tc>
              <w:tc>
                <w:tcPr>
                  <w:tcW w:w="559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9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839.33</w:t>
                  </w:r>
                </w:p>
              </w:tc>
              <w:tc>
                <w:tcPr>
                  <w:tcW w:w="24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839.33</w:t>
                  </w:r>
                </w:p>
              </w:tc>
              <w:tc>
                <w:tcPr>
                  <w:tcW w:w="34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2040402</w:t>
                  </w:r>
                </w:p>
              </w:tc>
              <w:tc>
                <w:tcPr>
                  <w:tcW w:w="559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9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89.08</w:t>
                  </w:r>
                </w:p>
              </w:tc>
              <w:tc>
                <w:tcPr>
                  <w:tcW w:w="24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4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89.08</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2040410</w:t>
                  </w:r>
                </w:p>
              </w:tc>
              <w:tc>
                <w:tcPr>
                  <w:tcW w:w="559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检察监督</w:t>
                  </w:r>
                </w:p>
              </w:tc>
              <w:tc>
                <w:tcPr>
                  <w:tcW w:w="19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19.00</w:t>
                  </w:r>
                </w:p>
              </w:tc>
              <w:tc>
                <w:tcPr>
                  <w:tcW w:w="24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19.00</w:t>
                  </w:r>
                </w:p>
              </w:tc>
              <w:tc>
                <w:tcPr>
                  <w:tcW w:w="34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559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984"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79.00</w:t>
                  </w:r>
                </w:p>
              </w:tc>
              <w:tc>
                <w:tcPr>
                  <w:tcW w:w="241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79.00</w:t>
                  </w:r>
                </w:p>
              </w:tc>
              <w:tc>
                <w:tcPr>
                  <w:tcW w:w="340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559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984"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241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340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559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9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72.00</w:t>
                  </w:r>
                </w:p>
              </w:tc>
              <w:tc>
                <w:tcPr>
                  <w:tcW w:w="24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72.00</w:t>
                  </w:r>
                </w:p>
              </w:tc>
              <w:tc>
                <w:tcPr>
                  <w:tcW w:w="34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559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其他社会保障和就业支出</w:t>
                  </w:r>
                </w:p>
              </w:tc>
              <w:tc>
                <w:tcPr>
                  <w:tcW w:w="1984"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w:t>
                  </w:r>
                </w:p>
              </w:tc>
              <w:tc>
                <w:tcPr>
                  <w:tcW w:w="241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w:t>
                  </w:r>
                </w:p>
              </w:tc>
              <w:tc>
                <w:tcPr>
                  <w:tcW w:w="340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2089901</w:t>
                  </w:r>
                </w:p>
              </w:tc>
              <w:tc>
                <w:tcPr>
                  <w:tcW w:w="559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19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w:t>
                  </w:r>
                </w:p>
              </w:tc>
              <w:tc>
                <w:tcPr>
                  <w:tcW w:w="24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w:t>
                  </w:r>
                </w:p>
              </w:tc>
              <w:tc>
                <w:tcPr>
                  <w:tcW w:w="34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559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984"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48.93</w:t>
                  </w:r>
                </w:p>
              </w:tc>
              <w:tc>
                <w:tcPr>
                  <w:tcW w:w="241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48.93</w:t>
                  </w:r>
                </w:p>
              </w:tc>
              <w:tc>
                <w:tcPr>
                  <w:tcW w:w="340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559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984"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48.93</w:t>
                  </w:r>
                </w:p>
              </w:tc>
              <w:tc>
                <w:tcPr>
                  <w:tcW w:w="241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48.93</w:t>
                  </w:r>
                </w:p>
              </w:tc>
              <w:tc>
                <w:tcPr>
                  <w:tcW w:w="340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559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19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33.00</w:t>
                  </w:r>
                </w:p>
              </w:tc>
              <w:tc>
                <w:tcPr>
                  <w:tcW w:w="24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33.00</w:t>
                  </w:r>
                </w:p>
              </w:tc>
              <w:tc>
                <w:tcPr>
                  <w:tcW w:w="34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559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19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15.93</w:t>
                  </w:r>
                </w:p>
              </w:tc>
              <w:tc>
                <w:tcPr>
                  <w:tcW w:w="24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15.93</w:t>
                  </w:r>
                </w:p>
              </w:tc>
              <w:tc>
                <w:tcPr>
                  <w:tcW w:w="34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559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984"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70.00</w:t>
                  </w:r>
                </w:p>
              </w:tc>
              <w:tc>
                <w:tcPr>
                  <w:tcW w:w="241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70.00</w:t>
                  </w:r>
                </w:p>
              </w:tc>
              <w:tc>
                <w:tcPr>
                  <w:tcW w:w="340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559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984"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70.00</w:t>
                  </w:r>
                </w:p>
              </w:tc>
              <w:tc>
                <w:tcPr>
                  <w:tcW w:w="2410"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70.00</w:t>
                  </w:r>
                </w:p>
              </w:tc>
              <w:tc>
                <w:tcPr>
                  <w:tcW w:w="3402"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5592"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9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70.00</w:t>
                  </w:r>
                </w:p>
              </w:tc>
              <w:tc>
                <w:tcPr>
                  <w:tcW w:w="24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70.00</w:t>
                  </w:r>
                </w:p>
              </w:tc>
              <w:tc>
                <w:tcPr>
                  <w:tcW w:w="34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5614"/>
      </w:tblGrid>
      <w:tr>
        <w:tblPrEx>
          <w:tblCellMar>
            <w:top w:w="0" w:type="dxa"/>
            <w:left w:w="108" w:type="dxa"/>
            <w:bottom w:w="0" w:type="dxa"/>
            <w:right w:w="108" w:type="dxa"/>
          </w:tblCellMar>
        </w:tblPrEx>
        <w:trPr>
          <w:trHeight w:val="113" w:hRule="atLeast"/>
        </w:trPr>
        <w:tc>
          <w:tcPr>
            <w:tcW w:w="0" w:type="auto"/>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32"/>
                <w:szCs w:val="32"/>
              </w:rPr>
            </w:pPr>
            <w:bookmarkStart w:id="2" w:name="RANGE!A1:I34"/>
            <w:r>
              <w:rPr>
                <w:rFonts w:hint="eastAsia" w:ascii="黑体" w:hAnsi="黑体" w:eastAsia="黑体" w:cs="宋体"/>
                <w:color w:val="000000"/>
                <w:kern w:val="0"/>
                <w:sz w:val="32"/>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公开06表</w:t>
            </w:r>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部门：邵阳市大祥区人民检察院                             2020年度                                                                       单位：万元</w:t>
            </w:r>
          </w:p>
          <w:tbl>
            <w:tblPr>
              <w:tblStyle w:val="7"/>
              <w:tblW w:w="15840" w:type="dxa"/>
              <w:tblInd w:w="0" w:type="dxa"/>
              <w:tblLayout w:type="autofit"/>
              <w:tblCellMar>
                <w:top w:w="0" w:type="dxa"/>
                <w:left w:w="108" w:type="dxa"/>
                <w:bottom w:w="0" w:type="dxa"/>
                <w:right w:w="108" w:type="dxa"/>
              </w:tblCellMar>
            </w:tblPr>
            <w:tblGrid>
              <w:gridCol w:w="723"/>
              <w:gridCol w:w="3085"/>
              <w:gridCol w:w="1304"/>
              <w:gridCol w:w="723"/>
              <w:gridCol w:w="2698"/>
              <w:gridCol w:w="1033"/>
              <w:gridCol w:w="723"/>
              <w:gridCol w:w="3781"/>
              <w:gridCol w:w="1323"/>
            </w:tblGrid>
            <w:tr>
              <w:tblPrEx>
                <w:tblCellMar>
                  <w:top w:w="0" w:type="dxa"/>
                  <w:left w:w="108" w:type="dxa"/>
                  <w:bottom w:w="0" w:type="dxa"/>
                  <w:right w:w="108" w:type="dxa"/>
                </w:tblCellMar>
              </w:tblPrEx>
              <w:trPr>
                <w:trHeight w:val="300" w:hRule="atLeast"/>
              </w:trPr>
              <w:tc>
                <w:tcPr>
                  <w:tcW w:w="526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10580" w:type="dxa"/>
                  <w:gridSpan w:val="6"/>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trHeight w:val="312" w:hRule="atLeast"/>
              </w:trPr>
              <w:tc>
                <w:tcPr>
                  <w:tcW w:w="740"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18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34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4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78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06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4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90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360"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12" w:hRule="atLeast"/>
              </w:trPr>
              <w:tc>
                <w:tcPr>
                  <w:tcW w:w="7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7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662.88</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364.30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194.03</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26.96</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151.42</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0.73</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98.04</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1.07</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4.42</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1.07</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57.51</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27.43</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6.29</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31.04</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12.42</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39.99</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13.30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75.00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7.08</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9.28</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12.36</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28.01</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0.48</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0.94</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20.03</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3.47</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0.23</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73.95</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19.20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1.98</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12.60</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15.81</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35.25</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5.77</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2.19</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1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278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89.28</w:t>
                  </w:r>
                </w:p>
              </w:tc>
              <w:tc>
                <w:tcPr>
                  <w:tcW w:w="74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0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920"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3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690.88</w:t>
                  </w:r>
                </w:p>
              </w:tc>
              <w:tc>
                <w:tcPr>
                  <w:tcW w:w="9220" w:type="dxa"/>
                  <w:gridSpan w:val="5"/>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365.37</w:t>
                  </w:r>
                </w:p>
              </w:tc>
            </w:tr>
          </w:tbl>
          <w:p>
            <w:pPr>
              <w:widowControl/>
              <w:jc w:val="left"/>
              <w:rPr>
                <w:rFonts w:ascii="华文中宋" w:hAnsi="华文中宋" w:eastAsia="华文中宋" w:cs="宋体"/>
                <w:color w:val="000000"/>
                <w:kern w:val="0"/>
                <w:szCs w:val="32"/>
              </w:rPr>
            </w:pPr>
          </w:p>
        </w:tc>
      </w:tr>
      <w:tr>
        <w:tblPrEx>
          <w:tblCellMar>
            <w:top w:w="0" w:type="dxa"/>
            <w:left w:w="108" w:type="dxa"/>
            <w:bottom w:w="0" w:type="dxa"/>
            <w:right w:w="108" w:type="dxa"/>
          </w:tblCellMar>
        </w:tblPrEx>
        <w:trPr>
          <w:trHeight w:val="284" w:hRule="exact"/>
        </w:trPr>
        <w:tc>
          <w:tcPr>
            <w:tcW w:w="0" w:type="auto"/>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right="42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firstLine="420" w:firstLineChars="2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部门：邵阳市大祥区人民检察院                               2020年度                                                             </w:t>
      </w: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44.50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41.73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40.79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24.98</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15.81</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0.94</w:t>
            </w: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bookmarkStart w:id="16" w:name="_GoBack"/>
      <w:bookmarkEnd w:id="16"/>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right="42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公开08表</w:t>
      </w:r>
    </w:p>
    <w:p>
      <w:pPr>
        <w:widowControl/>
        <w:ind w:firstLine="525" w:firstLineChars="2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部门：邵阳市大祥区人民检察院                           2020年度                                                               </w:t>
      </w: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此表无数据</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pStyle w:val="6"/>
        <w:spacing w:before="0" w:beforeAutospacing="0"/>
        <w:ind w:firstLine="600" w:firstLineChars="250"/>
        <w:outlineLvl w:val="1"/>
        <w:rPr>
          <w:rFonts w:cs="楷体" w:asciiTheme="minorEastAsia" w:hAnsiTheme="minorEastAsia" w:eastAsiaTheme="minorEastAsia"/>
          <w:sz w:val="20"/>
          <w:szCs w:val="20"/>
          <w:highlight w:val="yellow"/>
          <w:shd w:val="clear" w:color="auto" w:fill="FFFFFF"/>
        </w:rPr>
      </w:pPr>
      <w:r>
        <w:rPr>
          <w:rFonts w:hint="eastAsia" w:ascii="Times New Roman" w:hAnsi="Times New Roman" w:eastAsia="仿宋_GB2312"/>
          <w:szCs w:val="21"/>
        </w:rPr>
        <w:t xml:space="preserve">   </w:t>
      </w:r>
      <w:r>
        <w:rPr>
          <w:rFonts w:hint="eastAsia" w:cs="宋体" w:hAnsiTheme="minorHAnsi"/>
        </w:rPr>
        <w:t xml:space="preserve">  注：本表反映部门本年度政府性基金预算财政拨款收入、支出及结转和结余情况。2020年度本部门无政府性基金收支，因此本表无数据。</w:t>
      </w:r>
    </w:p>
    <w:p>
      <w:pPr>
        <w:widowControl/>
        <w:jc w:val="left"/>
        <w:rPr>
          <w:rFonts w:ascii="黑体" w:hAnsi="黑体" w:eastAsia="黑体"/>
          <w:szCs w:val="21"/>
        </w:rPr>
      </w:pPr>
      <w:r>
        <w:rPr>
          <w:rFonts w:hint="eastAsia" w:ascii="Times New Roman" w:hAnsi="Times New Roman" w:eastAsia="仿宋_GB2312" w:cs="Times New Roman"/>
          <w:kern w:val="0"/>
          <w:szCs w:val="21"/>
        </w:rPr>
        <w:t xml:space="preserve"> </w:t>
      </w: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620"/>
        <w:gridCol w:w="1089"/>
        <w:gridCol w:w="2126"/>
        <w:gridCol w:w="2551"/>
        <w:gridCol w:w="2977"/>
        <w:gridCol w:w="3827"/>
      </w:tblGrid>
      <w:tr>
        <w:tblPrEx>
          <w:tblCellMar>
            <w:top w:w="0" w:type="dxa"/>
            <w:left w:w="108" w:type="dxa"/>
            <w:bottom w:w="0" w:type="dxa"/>
            <w:right w:w="108" w:type="dxa"/>
          </w:tblCellMar>
        </w:tblPrEx>
        <w:trPr>
          <w:trHeight w:val="720" w:hRule="atLeast"/>
        </w:trPr>
        <w:tc>
          <w:tcPr>
            <w:tcW w:w="14190" w:type="dxa"/>
            <w:gridSpan w:val="6"/>
            <w:tcBorders>
              <w:top w:val="nil"/>
              <w:left w:val="nil"/>
              <w:bottom w:val="nil"/>
              <w:right w:val="nil"/>
            </w:tcBorders>
            <w:shd w:val="clear" w:color="000000" w:fill="FFFFFF"/>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国有资本经营预算财政拨款支出决算表</w:t>
            </w:r>
          </w:p>
          <w:p>
            <w:pPr>
              <w:widowControl/>
              <w:wordWrap w:val="0"/>
              <w:ind w:right="42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9</w:t>
            </w:r>
            <w:r>
              <w:rPr>
                <w:rFonts w:ascii="Times New Roman" w:hAnsi="Times New Roman" w:eastAsia="仿宋_GB2312" w:cs="Times New Roman"/>
                <w:color w:val="000000"/>
                <w:kern w:val="0"/>
                <w:szCs w:val="21"/>
              </w:rPr>
              <w:t>表</w:t>
            </w:r>
          </w:p>
          <w:p>
            <w:pPr>
              <w:widowControl/>
              <w:ind w:firstLine="525" w:firstLineChars="250"/>
              <w:jc w:val="left"/>
              <w:rPr>
                <w:rFonts w:ascii="黑体" w:hAnsi="黑体" w:eastAsia="黑体" w:cs="宋体"/>
                <w:kern w:val="0"/>
                <w:sz w:val="32"/>
                <w:szCs w:val="32"/>
              </w:rPr>
            </w:pPr>
            <w:r>
              <w:rPr>
                <w:rFonts w:hint="eastAsia" w:ascii="Times New Roman" w:hAnsi="Times New Roman" w:eastAsia="仿宋_GB2312" w:cs="Times New Roman"/>
                <w:color w:val="000000"/>
                <w:kern w:val="0"/>
                <w:szCs w:val="21"/>
              </w:rPr>
              <w:t xml:space="preserve">部门：邵阳市大祥区人民检察院                           2020年度                                                   </w:t>
            </w:r>
            <w:r>
              <w:rPr>
                <w:rFonts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402" w:hRule="atLeast"/>
        </w:trPr>
        <w:tc>
          <w:tcPr>
            <w:tcW w:w="483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Times New Roman" w:hAnsi="Times New Roman" w:eastAsia="仿宋_GB2312" w:cs="Times New Roman"/>
                <w:kern w:val="0"/>
                <w:szCs w:val="21"/>
                <w:lang w:eastAsia="zh-CN"/>
              </w:rPr>
              <w:t>此表无数据</w:t>
            </w: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6"/>
            <w:tcBorders>
              <w:top w:val="single" w:color="auto" w:sz="8" w:space="0"/>
              <w:left w:val="nil"/>
              <w:bottom w:val="nil"/>
              <w:right w:val="nil"/>
            </w:tcBorders>
            <w:shd w:val="clear" w:color="auto" w:fill="auto"/>
            <w:vAlign w:val="center"/>
          </w:tcPr>
          <w:p>
            <w:pPr>
              <w:pStyle w:val="6"/>
              <w:spacing w:before="0" w:beforeAutospacing="0"/>
              <w:ind w:firstLine="600" w:firstLineChars="250"/>
              <w:outlineLvl w:val="1"/>
              <w:rPr>
                <w:rFonts w:cs="宋体" w:hAnsiTheme="minorHAnsi"/>
                <w:highlight w:val="yellow"/>
              </w:rPr>
            </w:pPr>
            <w:r>
              <w:rPr>
                <w:rFonts w:hint="eastAsia" w:cs="宋体" w:hAnsiTheme="minorHAnsi"/>
              </w:rPr>
              <w:t>注：本表反映部门本年度国有资本经营预算财政拨款支出情况。2020年度本部门无国有资本经营预算收支，因此本表无数据。</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6"/>
        <w:spacing w:before="0" w:beforeAutospacing="0"/>
        <w:jc w:val="center"/>
        <w:outlineLvl w:val="0"/>
        <w:rPr>
          <w:rFonts w:cs="宋体"/>
          <w:sz w:val="44"/>
          <w:szCs w:val="44"/>
        </w:rPr>
      </w:pPr>
      <w:bookmarkStart w:id="3" w:name="_Toc1903"/>
      <w:r>
        <w:rPr>
          <w:rStyle w:val="9"/>
          <w:rFonts w:hint="eastAsia" w:ascii="黑体" w:hAnsi="黑体" w:eastAsia="黑体" w:cs="黑体"/>
          <w:sz w:val="44"/>
          <w:szCs w:val="44"/>
          <w:shd w:val="clear" w:color="auto" w:fill="FFFFFF"/>
        </w:rPr>
        <w:t>第三部分 2020年度部门决算情况说明</w:t>
      </w:r>
      <w:bookmarkEnd w:id="3"/>
    </w:p>
    <w:p>
      <w:pPr>
        <w:widowControl/>
        <w:jc w:val="left"/>
        <w:rPr>
          <w:rFonts w:ascii="仿宋" w:hAnsi="仿宋" w:eastAsia="仿宋" w:cs="黑体"/>
          <w:color w:val="000000"/>
          <w:kern w:val="0"/>
          <w:sz w:val="32"/>
          <w:szCs w:val="32"/>
        </w:rPr>
      </w:pPr>
    </w:p>
    <w:p>
      <w:pPr>
        <w:pStyle w:val="12"/>
        <w:ind w:firstLine="640" w:firstLineChars="200"/>
        <w:rPr>
          <w:rFonts w:hAnsi="黑体"/>
          <w:sz w:val="32"/>
          <w:szCs w:val="32"/>
        </w:rPr>
      </w:pPr>
      <w:r>
        <w:rPr>
          <w:rFonts w:hint="eastAsia" w:hAnsi="黑体"/>
          <w:sz w:val="32"/>
          <w:szCs w:val="32"/>
        </w:rPr>
        <w:t>一、收入支出决算总体情况说明</w:t>
      </w:r>
    </w:p>
    <w:p>
      <w:pPr>
        <w:pStyle w:val="12"/>
        <w:ind w:firstLine="630"/>
        <w:jc w:val="both"/>
        <w:rPr>
          <w:rFonts w:ascii="仿宋" w:hAnsi="仿宋" w:eastAsia="仿宋"/>
          <w:sz w:val="32"/>
          <w:szCs w:val="32"/>
        </w:rPr>
      </w:pPr>
      <w:r>
        <w:rPr>
          <w:rFonts w:hint="eastAsia" w:ascii="仿宋" w:hAnsi="仿宋" w:eastAsia="仿宋"/>
          <w:sz w:val="32"/>
          <w:szCs w:val="32"/>
        </w:rPr>
        <w:t>2020年度收、支总计</w:t>
      </w:r>
      <w:r>
        <w:rPr>
          <w:rFonts w:ascii="仿宋" w:hAnsi="仿宋" w:eastAsia="仿宋"/>
          <w:sz w:val="32"/>
          <w:szCs w:val="32"/>
        </w:rPr>
        <w:t>1554.26</w:t>
      </w:r>
      <w:r>
        <w:rPr>
          <w:rFonts w:hint="eastAsia" w:ascii="仿宋" w:hAnsi="仿宋" w:eastAsia="仿宋"/>
          <w:sz w:val="32"/>
          <w:szCs w:val="32"/>
        </w:rPr>
        <w:t>万元。与上年相比，增加265.48万元，增长20.60%，主要原因是新增项目拨款收入。</w:t>
      </w:r>
    </w:p>
    <w:p>
      <w:pPr>
        <w:pStyle w:val="12"/>
        <w:ind w:firstLine="640" w:firstLineChars="200"/>
        <w:rPr>
          <w:rFonts w:hAnsi="黑体"/>
          <w:sz w:val="32"/>
          <w:szCs w:val="32"/>
        </w:rPr>
      </w:pPr>
      <w:r>
        <w:rPr>
          <w:rFonts w:hint="eastAsia" w:hAnsi="黑体"/>
          <w:sz w:val="32"/>
          <w:szCs w:val="32"/>
        </w:rPr>
        <w:t>二、收入决算情况说明</w:t>
      </w:r>
    </w:p>
    <w:p>
      <w:pPr>
        <w:pStyle w:val="12"/>
        <w:ind w:firstLine="630"/>
        <w:jc w:val="both"/>
        <w:rPr>
          <w:rFonts w:ascii="仿宋" w:hAnsi="仿宋" w:eastAsia="仿宋"/>
          <w:sz w:val="32"/>
          <w:szCs w:val="32"/>
        </w:rPr>
      </w:pPr>
      <w:r>
        <w:rPr>
          <w:rFonts w:hint="eastAsia" w:ascii="仿宋" w:hAnsi="仿宋" w:eastAsia="仿宋"/>
          <w:sz w:val="32"/>
          <w:szCs w:val="32"/>
        </w:rPr>
        <w:t>本年收入合计</w:t>
      </w:r>
      <w:r>
        <w:rPr>
          <w:rFonts w:ascii="仿宋" w:hAnsi="仿宋" w:eastAsia="仿宋"/>
          <w:sz w:val="32"/>
          <w:szCs w:val="32"/>
        </w:rPr>
        <w:t>1545.85</w:t>
      </w:r>
      <w:r>
        <w:rPr>
          <w:rFonts w:hint="eastAsia" w:ascii="仿宋" w:hAnsi="仿宋" w:eastAsia="仿宋"/>
          <w:sz w:val="32"/>
          <w:szCs w:val="32"/>
        </w:rPr>
        <w:t>万元，其中：财政拨款收入</w:t>
      </w:r>
      <w:r>
        <w:rPr>
          <w:rFonts w:ascii="仿宋" w:hAnsi="仿宋" w:eastAsia="仿宋"/>
          <w:sz w:val="32"/>
          <w:szCs w:val="32"/>
        </w:rPr>
        <w:t>1416.85</w:t>
      </w:r>
      <w:r>
        <w:rPr>
          <w:rFonts w:hint="eastAsia" w:ascii="仿宋" w:hAnsi="仿宋" w:eastAsia="仿宋"/>
          <w:sz w:val="32"/>
          <w:szCs w:val="32"/>
        </w:rPr>
        <w:t>万元，占92%；其他收入129万元，占8%。</w:t>
      </w:r>
    </w:p>
    <w:p>
      <w:pPr>
        <w:pStyle w:val="12"/>
        <w:ind w:firstLine="640" w:firstLineChars="200"/>
        <w:rPr>
          <w:rFonts w:hAnsi="黑体"/>
          <w:sz w:val="32"/>
          <w:szCs w:val="32"/>
        </w:rPr>
      </w:pPr>
      <w:r>
        <w:rPr>
          <w:rFonts w:hint="eastAsia" w:hAnsi="黑体"/>
          <w:sz w:val="32"/>
          <w:szCs w:val="32"/>
        </w:rPr>
        <w:t>三、支出决算情况说明</w:t>
      </w:r>
    </w:p>
    <w:p>
      <w:pPr>
        <w:pStyle w:val="12"/>
        <w:ind w:firstLine="630"/>
        <w:jc w:val="both"/>
        <w:rPr>
          <w:rFonts w:ascii="仿宋" w:hAnsi="仿宋" w:eastAsia="仿宋"/>
          <w:sz w:val="32"/>
          <w:szCs w:val="32"/>
        </w:rPr>
      </w:pPr>
      <w:r>
        <w:rPr>
          <w:rFonts w:hint="eastAsia" w:ascii="仿宋" w:hAnsi="仿宋" w:eastAsia="仿宋"/>
          <w:sz w:val="32"/>
          <w:szCs w:val="32"/>
        </w:rPr>
        <w:t>本年支出合计</w:t>
      </w:r>
      <w:r>
        <w:rPr>
          <w:rFonts w:ascii="仿宋" w:hAnsi="仿宋" w:eastAsia="仿宋"/>
          <w:sz w:val="32"/>
          <w:szCs w:val="32"/>
        </w:rPr>
        <w:t>1274.34</w:t>
      </w:r>
      <w:r>
        <w:rPr>
          <w:rFonts w:hint="eastAsia" w:ascii="仿宋" w:hAnsi="仿宋" w:eastAsia="仿宋"/>
          <w:sz w:val="32"/>
          <w:szCs w:val="32"/>
        </w:rPr>
        <w:t>万元，其中：基本支出</w:t>
      </w:r>
      <w:r>
        <w:rPr>
          <w:rFonts w:ascii="仿宋" w:hAnsi="仿宋" w:eastAsia="仿宋"/>
          <w:sz w:val="32"/>
          <w:szCs w:val="32"/>
        </w:rPr>
        <w:t>1185.25</w:t>
      </w:r>
      <w:r>
        <w:rPr>
          <w:rFonts w:hint="eastAsia" w:ascii="仿宋" w:hAnsi="仿宋" w:eastAsia="仿宋"/>
          <w:sz w:val="32"/>
          <w:szCs w:val="32"/>
        </w:rPr>
        <w:t>万元，占93%；项目支出</w:t>
      </w:r>
      <w:r>
        <w:rPr>
          <w:rFonts w:ascii="仿宋" w:hAnsi="仿宋" w:eastAsia="仿宋"/>
          <w:sz w:val="32"/>
          <w:szCs w:val="32"/>
        </w:rPr>
        <w:t>89.08</w:t>
      </w:r>
      <w:r>
        <w:rPr>
          <w:rFonts w:hint="eastAsia" w:ascii="仿宋" w:hAnsi="仿宋" w:eastAsia="仿宋"/>
          <w:sz w:val="32"/>
          <w:szCs w:val="32"/>
        </w:rPr>
        <w:t>万元，占7%。</w:t>
      </w:r>
    </w:p>
    <w:p>
      <w:pPr>
        <w:pStyle w:val="12"/>
        <w:ind w:firstLine="630"/>
        <w:rPr>
          <w:rFonts w:hAnsi="黑体"/>
          <w:sz w:val="32"/>
          <w:szCs w:val="32"/>
        </w:rPr>
      </w:pPr>
      <w:r>
        <w:rPr>
          <w:rFonts w:hint="eastAsia" w:hAnsi="黑体"/>
          <w:sz w:val="32"/>
          <w:szCs w:val="32"/>
        </w:rPr>
        <w:t>四、财政拨款收入支出决算总体情况说明</w:t>
      </w:r>
    </w:p>
    <w:p>
      <w:pPr>
        <w:pStyle w:val="12"/>
        <w:ind w:firstLine="630"/>
        <w:jc w:val="both"/>
        <w:rPr>
          <w:rFonts w:ascii="仿宋" w:hAnsi="仿宋" w:eastAsia="仿宋"/>
          <w:color w:val="auto"/>
          <w:sz w:val="32"/>
          <w:szCs w:val="32"/>
        </w:rPr>
      </w:pPr>
      <w:r>
        <w:rPr>
          <w:rFonts w:hint="eastAsia" w:ascii="仿宋" w:hAnsi="仿宋" w:eastAsia="仿宋"/>
          <w:sz w:val="32"/>
          <w:szCs w:val="32"/>
        </w:rPr>
        <w:t>2020年度财政拨款收、支总计</w:t>
      </w:r>
      <w:r>
        <w:rPr>
          <w:rFonts w:ascii="仿宋" w:hAnsi="仿宋" w:eastAsia="仿宋"/>
          <w:sz w:val="32"/>
          <w:szCs w:val="32"/>
        </w:rPr>
        <w:t>1425.26</w:t>
      </w:r>
      <w:r>
        <w:rPr>
          <w:rFonts w:hint="eastAsia" w:ascii="仿宋" w:hAnsi="仿宋" w:eastAsia="仿宋"/>
          <w:sz w:val="32"/>
          <w:szCs w:val="32"/>
        </w:rPr>
        <w:t>万元，与上年相比，增加191.18万元,增长15.49%，</w:t>
      </w:r>
      <w:r>
        <w:rPr>
          <w:rFonts w:hint="eastAsia" w:ascii="仿宋" w:hAnsi="仿宋" w:eastAsia="仿宋"/>
          <w:color w:val="auto"/>
          <w:sz w:val="32"/>
          <w:szCs w:val="32"/>
        </w:rPr>
        <w:t xml:space="preserve">主要原因是增加项目拨款收支。 </w:t>
      </w:r>
    </w:p>
    <w:p>
      <w:pPr>
        <w:pStyle w:val="12"/>
        <w:ind w:firstLine="630"/>
        <w:rPr>
          <w:rFonts w:hAnsi="黑体"/>
          <w:sz w:val="32"/>
          <w:szCs w:val="32"/>
        </w:rPr>
      </w:pPr>
      <w:r>
        <w:rPr>
          <w:rFonts w:hint="eastAsia" w:hAnsi="黑体"/>
          <w:sz w:val="32"/>
          <w:szCs w:val="32"/>
        </w:rPr>
        <w:t>五、一般公共预算财政拨款支出决算情况说明</w:t>
      </w:r>
    </w:p>
    <w:p>
      <w:pPr>
        <w:pStyle w:val="12"/>
        <w:ind w:firstLine="640" w:firstLineChars="200"/>
        <w:rPr>
          <w:rFonts w:ascii="楷体" w:hAnsi="楷体" w:eastAsia="楷体"/>
          <w:sz w:val="32"/>
          <w:szCs w:val="32"/>
        </w:rPr>
      </w:pPr>
      <w:r>
        <w:rPr>
          <w:rFonts w:hint="eastAsia" w:ascii="楷体" w:hAnsi="楷体" w:eastAsia="楷体"/>
          <w:sz w:val="32"/>
          <w:szCs w:val="32"/>
        </w:rPr>
        <w:t>（一）财政拨款支出决算总体情况</w:t>
      </w:r>
    </w:p>
    <w:p>
      <w:pPr>
        <w:pStyle w:val="12"/>
        <w:ind w:firstLine="630"/>
        <w:jc w:val="both"/>
        <w:rPr>
          <w:rFonts w:ascii="仿宋" w:hAnsi="仿宋" w:eastAsia="仿宋"/>
          <w:sz w:val="32"/>
          <w:szCs w:val="32"/>
        </w:rPr>
      </w:pPr>
      <w:r>
        <w:rPr>
          <w:rFonts w:hint="eastAsia" w:ascii="仿宋" w:hAnsi="仿宋" w:eastAsia="仿宋"/>
          <w:sz w:val="32"/>
          <w:szCs w:val="32"/>
        </w:rPr>
        <w:t>2020年度财政拨款支出</w:t>
      </w:r>
      <w:r>
        <w:rPr>
          <w:rFonts w:ascii="仿宋" w:hAnsi="仿宋" w:eastAsia="仿宋"/>
          <w:sz w:val="32"/>
          <w:szCs w:val="32"/>
        </w:rPr>
        <w:t>1145.34</w:t>
      </w:r>
      <w:r>
        <w:rPr>
          <w:rFonts w:hint="eastAsia" w:ascii="仿宋" w:hAnsi="仿宋" w:eastAsia="仿宋"/>
          <w:sz w:val="32"/>
          <w:szCs w:val="32"/>
        </w:rPr>
        <w:t>万元，占本年支出合计的90%，与上年相比，财政拨款支出减少49.88万元，减少4%，主要原因是为落实中央和省委省政府过“紧”日子的政策要求，压减一般性支出。</w:t>
      </w:r>
    </w:p>
    <w:p>
      <w:pPr>
        <w:pStyle w:val="12"/>
        <w:ind w:firstLine="640" w:firstLineChars="200"/>
        <w:rPr>
          <w:rFonts w:ascii="楷体" w:hAnsi="楷体" w:eastAsia="楷体"/>
          <w:sz w:val="32"/>
          <w:szCs w:val="32"/>
        </w:rPr>
      </w:pPr>
      <w:r>
        <w:rPr>
          <w:rFonts w:hint="eastAsia" w:ascii="楷体" w:hAnsi="楷体" w:eastAsia="楷体"/>
          <w:sz w:val="32"/>
          <w:szCs w:val="32"/>
        </w:rPr>
        <w:t>（二）财政拨款支出决算结构情况</w:t>
      </w:r>
    </w:p>
    <w:p>
      <w:pPr>
        <w:pStyle w:val="12"/>
        <w:ind w:firstLine="630"/>
        <w:jc w:val="both"/>
        <w:rPr>
          <w:rFonts w:ascii="仿宋" w:hAnsi="仿宋" w:eastAsia="仿宋"/>
          <w:sz w:val="32"/>
          <w:szCs w:val="32"/>
        </w:rPr>
      </w:pPr>
      <w:r>
        <w:rPr>
          <w:rFonts w:hint="eastAsia" w:ascii="仿宋" w:hAnsi="仿宋" w:eastAsia="仿宋"/>
          <w:sz w:val="32"/>
          <w:szCs w:val="32"/>
        </w:rPr>
        <w:t>2020年度财政拨款支出1145.34万元，主要用于以下方面：公共安全支出</w:t>
      </w:r>
      <w:r>
        <w:rPr>
          <w:rFonts w:ascii="仿宋" w:hAnsi="仿宋" w:eastAsia="仿宋"/>
          <w:sz w:val="32"/>
          <w:szCs w:val="32"/>
        </w:rPr>
        <w:t>947.41</w:t>
      </w:r>
      <w:r>
        <w:rPr>
          <w:rFonts w:hint="eastAsia" w:ascii="仿宋" w:hAnsi="仿宋" w:eastAsia="仿宋"/>
          <w:sz w:val="32"/>
          <w:szCs w:val="32"/>
        </w:rPr>
        <w:t>万元，占82.72%；社会保障和就业支出79万元，占6.90%；卫生健康支出48.93万元，占4.27%；住房保障支出70万元，占6.11%。</w:t>
      </w:r>
    </w:p>
    <w:p>
      <w:pPr>
        <w:pStyle w:val="12"/>
        <w:ind w:firstLine="640" w:firstLineChars="200"/>
        <w:rPr>
          <w:rFonts w:ascii="楷体" w:hAnsi="楷体" w:eastAsia="楷体"/>
          <w:sz w:val="32"/>
          <w:szCs w:val="32"/>
        </w:rPr>
      </w:pPr>
      <w:r>
        <w:rPr>
          <w:rFonts w:hint="eastAsia" w:ascii="楷体" w:hAnsi="楷体" w:eastAsia="楷体"/>
          <w:sz w:val="32"/>
          <w:szCs w:val="32"/>
        </w:rPr>
        <w:t>（三）财政拨款支出决算具体情况</w:t>
      </w:r>
    </w:p>
    <w:p>
      <w:pPr>
        <w:pStyle w:val="12"/>
        <w:ind w:firstLine="630"/>
        <w:jc w:val="both"/>
        <w:rPr>
          <w:rFonts w:ascii="仿宋" w:hAnsi="仿宋" w:eastAsia="仿宋"/>
          <w:sz w:val="32"/>
          <w:szCs w:val="32"/>
        </w:rPr>
      </w:pPr>
      <w:r>
        <w:rPr>
          <w:rFonts w:hint="eastAsia" w:ascii="仿宋" w:hAnsi="仿宋" w:eastAsia="仿宋"/>
          <w:sz w:val="32"/>
          <w:szCs w:val="32"/>
        </w:rPr>
        <w:t>2020年度财政拨款支出年初预算数为1155.85万元，支出决算数为1145.34万元，完成年初预算的99%，其中：</w:t>
      </w:r>
    </w:p>
    <w:p>
      <w:pPr>
        <w:pStyle w:val="12"/>
        <w:ind w:firstLine="630"/>
        <w:jc w:val="both"/>
        <w:rPr>
          <w:rFonts w:ascii="仿宋" w:hAnsi="仿宋" w:eastAsia="仿宋"/>
          <w:sz w:val="32"/>
          <w:szCs w:val="32"/>
        </w:rPr>
      </w:pPr>
      <w:r>
        <w:rPr>
          <w:rFonts w:hint="eastAsia" w:ascii="仿宋" w:hAnsi="仿宋" w:eastAsia="仿宋"/>
          <w:sz w:val="32"/>
          <w:szCs w:val="32"/>
        </w:rPr>
        <w:t>1、公共安全-检察-行政运行支出年初预算为890.92万元，支出决算为839.33万元，完成年初预算的94%，决算数小于年初预算数的主要原因是为落实中央和省委省政府过“紧”日子的政策要求，压减一般性支出。</w:t>
      </w:r>
    </w:p>
    <w:p>
      <w:pPr>
        <w:pStyle w:val="12"/>
        <w:ind w:firstLine="630"/>
        <w:jc w:val="both"/>
        <w:rPr>
          <w:rFonts w:ascii="仿宋" w:hAnsi="仿宋" w:eastAsia="仿宋"/>
          <w:sz w:val="32"/>
          <w:szCs w:val="32"/>
        </w:rPr>
      </w:pPr>
      <w:r>
        <w:rPr>
          <w:rFonts w:hint="eastAsia" w:ascii="仿宋" w:hAnsi="仿宋" w:eastAsia="仿宋"/>
          <w:sz w:val="32"/>
          <w:szCs w:val="32"/>
        </w:rPr>
        <w:t>2、公共安全-检察-一般行政管理事务支出年初预算为55万元，支出决算为89.08万元，完成年初预算的162%，决算数大于年初预算数的主要原因是办公办案工作需要年中追加办公设备购置和大型修缮等经费。</w:t>
      </w:r>
    </w:p>
    <w:p>
      <w:pPr>
        <w:pStyle w:val="12"/>
        <w:ind w:firstLine="630"/>
        <w:jc w:val="both"/>
        <w:rPr>
          <w:rFonts w:ascii="仿宋" w:hAnsi="仿宋" w:eastAsia="仿宋"/>
          <w:sz w:val="32"/>
          <w:szCs w:val="32"/>
        </w:rPr>
      </w:pPr>
      <w:r>
        <w:rPr>
          <w:rFonts w:hint="eastAsia" w:ascii="仿宋" w:hAnsi="仿宋" w:eastAsia="仿宋"/>
          <w:sz w:val="32"/>
          <w:szCs w:val="32"/>
        </w:rPr>
        <w:t>3、公共安全-检察-检察监督支出年初预算为12万元，支出决算为19万元，完成年初预算的158%，决算数大于年初预算数的主要原因是办案费用增加。</w:t>
      </w:r>
    </w:p>
    <w:p>
      <w:pPr>
        <w:pStyle w:val="12"/>
        <w:ind w:firstLine="630"/>
        <w:jc w:val="both"/>
        <w:rPr>
          <w:rFonts w:ascii="仿宋" w:hAnsi="仿宋" w:eastAsia="仿宋"/>
          <w:sz w:val="32"/>
          <w:szCs w:val="32"/>
        </w:rPr>
      </w:pPr>
      <w:r>
        <w:rPr>
          <w:rFonts w:hint="eastAsia" w:ascii="仿宋" w:hAnsi="仿宋" w:eastAsia="仿宋"/>
          <w:sz w:val="32"/>
          <w:szCs w:val="32"/>
        </w:rPr>
        <w:t>4、社会保障和就业支出-行政事业单位养老支出-机关事业单位基本养老保险缴费年初预算72万元，决算数72万元，完成年初预算的100%。</w:t>
      </w:r>
    </w:p>
    <w:p>
      <w:pPr>
        <w:pStyle w:val="12"/>
        <w:ind w:firstLine="630"/>
        <w:jc w:val="both"/>
        <w:rPr>
          <w:rFonts w:ascii="仿宋" w:hAnsi="仿宋" w:eastAsia="仿宋"/>
          <w:sz w:val="32"/>
          <w:szCs w:val="32"/>
        </w:rPr>
      </w:pPr>
      <w:r>
        <w:rPr>
          <w:rFonts w:hint="eastAsia" w:ascii="仿宋" w:hAnsi="仿宋" w:eastAsia="仿宋"/>
          <w:sz w:val="32"/>
          <w:szCs w:val="32"/>
        </w:rPr>
        <w:t>5、社会保障和就业支出-其他社会保障和就业支出-其他社会保障和就业支出年初预算7万元，决算数7万元，完成年初预算的100%。</w:t>
      </w:r>
    </w:p>
    <w:p>
      <w:pPr>
        <w:pStyle w:val="12"/>
        <w:ind w:firstLine="630"/>
        <w:jc w:val="both"/>
        <w:rPr>
          <w:rFonts w:ascii="仿宋" w:hAnsi="仿宋" w:eastAsia="仿宋"/>
          <w:sz w:val="32"/>
          <w:szCs w:val="32"/>
        </w:rPr>
      </w:pPr>
      <w:r>
        <w:rPr>
          <w:rFonts w:hint="eastAsia" w:ascii="仿宋" w:hAnsi="仿宋" w:eastAsia="仿宋"/>
          <w:sz w:val="32"/>
          <w:szCs w:val="32"/>
        </w:rPr>
        <w:t>6、卫生健康支出-行政事业单位医疗-行政单位医疗支出年初预算33万元，决算数33万元，完成年初预算的100%。</w:t>
      </w:r>
    </w:p>
    <w:p>
      <w:pPr>
        <w:pStyle w:val="12"/>
        <w:ind w:firstLine="630"/>
        <w:jc w:val="both"/>
        <w:rPr>
          <w:rFonts w:ascii="仿宋" w:hAnsi="仿宋" w:eastAsia="仿宋"/>
          <w:sz w:val="32"/>
          <w:szCs w:val="32"/>
        </w:rPr>
      </w:pPr>
      <w:r>
        <w:rPr>
          <w:rFonts w:hint="eastAsia" w:ascii="仿宋" w:hAnsi="仿宋" w:eastAsia="仿宋"/>
          <w:sz w:val="32"/>
          <w:szCs w:val="32"/>
        </w:rPr>
        <w:t>7、卫生健康支出-行政事业单位医疗-公务员医疗补助支出年初预算15.93万元，决算数15.93万元，完成年初预算的100%。</w:t>
      </w:r>
    </w:p>
    <w:p>
      <w:pPr>
        <w:pStyle w:val="12"/>
        <w:ind w:firstLine="630"/>
        <w:jc w:val="both"/>
        <w:rPr>
          <w:rFonts w:ascii="仿宋" w:hAnsi="仿宋" w:eastAsia="仿宋"/>
          <w:sz w:val="32"/>
          <w:szCs w:val="32"/>
        </w:rPr>
      </w:pPr>
      <w:r>
        <w:rPr>
          <w:rFonts w:hint="eastAsia" w:ascii="仿宋" w:hAnsi="仿宋" w:eastAsia="仿宋"/>
          <w:sz w:val="32"/>
          <w:szCs w:val="32"/>
        </w:rPr>
        <w:t>8、住房保障支出-住房改革支出-住房公积金支出年初预算70万元，决算数70万元，完成年初预算的100%。</w:t>
      </w:r>
    </w:p>
    <w:p>
      <w:pPr>
        <w:pStyle w:val="12"/>
        <w:ind w:firstLine="640" w:firstLineChars="200"/>
        <w:rPr>
          <w:rFonts w:hAnsi="黑体"/>
          <w:sz w:val="32"/>
          <w:szCs w:val="32"/>
        </w:rPr>
      </w:pPr>
      <w:r>
        <w:rPr>
          <w:rFonts w:hint="eastAsia" w:hAnsi="黑体"/>
          <w:sz w:val="32"/>
          <w:szCs w:val="32"/>
        </w:rPr>
        <w:t>六、一般公共预算财政拨款基本支出决算情况说明</w:t>
      </w:r>
    </w:p>
    <w:p>
      <w:pPr>
        <w:pStyle w:val="12"/>
        <w:ind w:firstLine="640" w:firstLineChars="200"/>
        <w:jc w:val="both"/>
        <w:rPr>
          <w:rFonts w:ascii="仿宋" w:hAnsi="仿宋" w:eastAsia="仿宋"/>
          <w:sz w:val="32"/>
          <w:szCs w:val="32"/>
        </w:rPr>
      </w:pPr>
      <w:r>
        <w:rPr>
          <w:rFonts w:hint="eastAsia" w:ascii="仿宋" w:hAnsi="仿宋" w:eastAsia="仿宋"/>
          <w:sz w:val="32"/>
          <w:szCs w:val="32"/>
        </w:rPr>
        <w:t>2020年度财政拨款基本支出</w:t>
      </w:r>
      <w:r>
        <w:rPr>
          <w:rFonts w:ascii="仿宋" w:hAnsi="仿宋" w:eastAsia="仿宋"/>
          <w:sz w:val="32"/>
          <w:szCs w:val="32"/>
        </w:rPr>
        <w:t>1</w:t>
      </w:r>
      <w:r>
        <w:rPr>
          <w:rFonts w:hint="eastAsia" w:ascii="仿宋" w:hAnsi="仿宋" w:eastAsia="仿宋"/>
          <w:sz w:val="32"/>
          <w:szCs w:val="32"/>
        </w:rPr>
        <w:t>056.25万元，其中：人员经费690.88万元，占基本支出的65.41%,主要包括基本工资、津贴补贴、奖金、机关事业单位基本养老保险缴费、职业年金缴费、职工基本医疗保险缴费、公务员医疗补助缴费、其他社会保障缴、住房公积金、其他工资福利支出、抚恤金、生活补助、奖励金、其他对个人和家庭的补助；公用经费365.37万元，占基本支出的34.59%，主要包括办公费、印刷费、水费、邮电费、物业管理费、差旅费、维修（护）费、租赁费、培训费、公务接待费、被装购置费、劳务费、工会经费、福利费、公务用车运行维护费、其他交通费用、其他商品和服务支出、税金及附加、办公设备购置。</w:t>
      </w:r>
    </w:p>
    <w:p>
      <w:pPr>
        <w:pStyle w:val="12"/>
        <w:ind w:left="623" w:leftChars="297"/>
        <w:rPr>
          <w:rFonts w:hAnsi="黑体"/>
          <w:b/>
          <w:sz w:val="32"/>
          <w:szCs w:val="32"/>
        </w:rPr>
      </w:pPr>
      <w:r>
        <w:rPr>
          <w:rFonts w:hint="eastAsia" w:hAnsi="黑体"/>
          <w:sz w:val="32"/>
          <w:szCs w:val="32"/>
        </w:rPr>
        <w:t>七、一般公共预算财政拨款三公经费支出决算情况说明</w:t>
      </w:r>
      <w:r>
        <w:rPr>
          <w:rFonts w:hint="eastAsia" w:ascii="楷体" w:hAnsi="楷体" w:eastAsia="楷体"/>
          <w:sz w:val="32"/>
          <w:szCs w:val="32"/>
        </w:rPr>
        <w:t>（一）“三公”经费财政拨款支出决算总体情况说明</w:t>
      </w:r>
    </w:p>
    <w:p>
      <w:pPr>
        <w:pStyle w:val="12"/>
        <w:ind w:firstLine="640" w:firstLineChars="200"/>
        <w:jc w:val="both"/>
        <w:rPr>
          <w:rFonts w:ascii="仿宋" w:hAnsi="仿宋" w:eastAsia="仿宋"/>
          <w:sz w:val="32"/>
          <w:szCs w:val="32"/>
        </w:rPr>
      </w:pPr>
      <w:r>
        <w:rPr>
          <w:rFonts w:hint="eastAsia" w:ascii="仿宋" w:hAnsi="仿宋" w:eastAsia="仿宋"/>
          <w:sz w:val="32"/>
          <w:szCs w:val="32"/>
        </w:rPr>
        <w:t>“三公”经费财政拨款支出预算为44.50万元，支出决算为41.73万元，完成预算的94%，其中：</w:t>
      </w:r>
    </w:p>
    <w:p>
      <w:pPr>
        <w:pStyle w:val="12"/>
        <w:ind w:firstLine="640" w:firstLineChars="200"/>
        <w:jc w:val="both"/>
        <w:rPr>
          <w:rFonts w:ascii="仿宋" w:hAnsi="仿宋" w:eastAsia="仿宋"/>
          <w:color w:val="auto"/>
          <w:sz w:val="32"/>
          <w:szCs w:val="32"/>
        </w:rPr>
      </w:pPr>
      <w:r>
        <w:rPr>
          <w:rFonts w:hint="eastAsia" w:ascii="仿宋" w:hAnsi="仿宋" w:eastAsia="仿宋"/>
          <w:sz w:val="32"/>
          <w:szCs w:val="32"/>
        </w:rPr>
        <w:t>因公出国（境）费支出预算为0万元，因公出国（境）费支出决算为0万元</w:t>
      </w:r>
      <w:r>
        <w:rPr>
          <w:rFonts w:hint="eastAsia" w:ascii="仿宋" w:hAnsi="仿宋" w:eastAsia="仿宋"/>
          <w:color w:val="auto"/>
          <w:sz w:val="32"/>
          <w:szCs w:val="32"/>
        </w:rPr>
        <w:t>。与上年相比，保持一致，预算决算均为零。</w:t>
      </w:r>
    </w:p>
    <w:p>
      <w:pPr>
        <w:pStyle w:val="12"/>
        <w:ind w:firstLine="640" w:firstLineChars="200"/>
        <w:jc w:val="both"/>
        <w:rPr>
          <w:rFonts w:ascii="仿宋" w:hAnsi="仿宋" w:eastAsia="仿宋"/>
          <w:sz w:val="32"/>
          <w:szCs w:val="32"/>
        </w:rPr>
      </w:pPr>
      <w:r>
        <w:rPr>
          <w:rFonts w:hint="eastAsia" w:ascii="仿宋" w:hAnsi="仿宋" w:eastAsia="仿宋"/>
          <w:color w:val="auto"/>
          <w:sz w:val="32"/>
          <w:szCs w:val="32"/>
        </w:rPr>
        <w:t>公务接待费支出预算为1.5万元，支出决算为0.94万元，完成预算的63%，决算数小于预算数的主要原因是从严控制公务接待经费开支，与上年相比增加0.94万元,增长100%，增长的主要原因是是扶贫攻坚、党建等中心工作增加，</w:t>
      </w:r>
      <w:r>
        <w:rPr>
          <w:rFonts w:hint="eastAsia" w:ascii="仿宋" w:hAnsi="仿宋" w:eastAsia="仿宋"/>
          <w:sz w:val="32"/>
          <w:szCs w:val="32"/>
        </w:rPr>
        <w:t>公务接待任务加重。</w:t>
      </w:r>
    </w:p>
    <w:p>
      <w:pPr>
        <w:pStyle w:val="12"/>
        <w:ind w:firstLine="640" w:firstLineChars="200"/>
        <w:jc w:val="both"/>
        <w:rPr>
          <w:rFonts w:ascii="仿宋" w:hAnsi="仿宋" w:eastAsia="仿宋"/>
          <w:sz w:val="32"/>
          <w:szCs w:val="32"/>
        </w:rPr>
      </w:pPr>
      <w:r>
        <w:rPr>
          <w:rFonts w:hint="eastAsia" w:ascii="仿宋" w:hAnsi="仿宋" w:eastAsia="仿宋"/>
          <w:sz w:val="32"/>
          <w:szCs w:val="32"/>
        </w:rPr>
        <w:t>公务用车购置费及运行维护费支出预算为43万元，支出决算为40.79万元，完成预算的95%，决算数小于预算数的主要原因是进一步从严控制公务用车购置费及运行维护费开支，全年实际支出比预算增幅较大，与上年相比增加22.79万元，增加126.61%,增加的主要原因是新购置一</w:t>
      </w:r>
      <w:r>
        <w:rPr>
          <w:rFonts w:hint="eastAsia" w:ascii="仿宋" w:hAnsi="仿宋" w:eastAsia="仿宋"/>
          <w:sz w:val="32"/>
          <w:szCs w:val="32"/>
          <w:lang w:eastAsia="zh-CN"/>
        </w:rPr>
        <w:t>辆</w:t>
      </w:r>
      <w:r>
        <w:rPr>
          <w:rFonts w:hint="eastAsia" w:ascii="仿宋" w:hAnsi="仿宋" w:eastAsia="仿宋"/>
          <w:sz w:val="32"/>
          <w:szCs w:val="32"/>
        </w:rPr>
        <w:t>特种专业技术用车。</w:t>
      </w:r>
    </w:p>
    <w:p>
      <w:pPr>
        <w:pStyle w:val="12"/>
        <w:ind w:firstLine="640" w:firstLineChars="200"/>
        <w:rPr>
          <w:rFonts w:ascii="楷体" w:hAnsi="楷体" w:eastAsia="楷体"/>
          <w:sz w:val="32"/>
          <w:szCs w:val="32"/>
        </w:rPr>
      </w:pPr>
      <w:r>
        <w:rPr>
          <w:rFonts w:hint="eastAsia" w:ascii="楷体" w:hAnsi="楷体" w:eastAsia="楷体"/>
          <w:sz w:val="32"/>
          <w:szCs w:val="32"/>
        </w:rPr>
        <w:t>（二）“三公”经费财政拨款支出决算具体情况说明</w:t>
      </w:r>
    </w:p>
    <w:p>
      <w:pPr>
        <w:pStyle w:val="12"/>
        <w:ind w:firstLine="640" w:firstLineChars="200"/>
        <w:jc w:val="both"/>
        <w:rPr>
          <w:rFonts w:ascii="仿宋" w:hAnsi="仿宋" w:eastAsia="仿宋"/>
          <w:sz w:val="32"/>
          <w:szCs w:val="32"/>
        </w:rPr>
      </w:pPr>
      <w:r>
        <w:rPr>
          <w:rFonts w:hint="eastAsia" w:ascii="仿宋" w:hAnsi="仿宋" w:eastAsia="仿宋"/>
          <w:sz w:val="32"/>
          <w:szCs w:val="32"/>
        </w:rPr>
        <w:t>2020年度“三公”经费财政拨款支出决算中，因公出国（境）费支出决算为0，公务接待费支出决算0.94万元，占2.25%,公务用车购置费及运行维护费支出决算40.79万元，占97.75%。其中：</w:t>
      </w:r>
    </w:p>
    <w:p>
      <w:pPr>
        <w:pStyle w:val="6"/>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1、因公出国（境）费支出决算为0万元，受新冠疫情影响，本年度未开展因公出国项目。</w:t>
      </w:r>
    </w:p>
    <w:p>
      <w:pPr>
        <w:pStyle w:val="12"/>
        <w:ind w:firstLine="640" w:firstLineChars="200"/>
        <w:jc w:val="both"/>
        <w:rPr>
          <w:rFonts w:ascii="仿宋" w:hAnsi="仿宋" w:eastAsia="仿宋"/>
          <w:sz w:val="32"/>
          <w:szCs w:val="32"/>
        </w:rPr>
      </w:pPr>
      <w:r>
        <w:rPr>
          <w:rFonts w:hint="eastAsia" w:ascii="仿宋" w:hAnsi="仿宋" w:eastAsia="仿宋"/>
          <w:sz w:val="32"/>
          <w:szCs w:val="32"/>
        </w:rPr>
        <w:t>2、公务接待费支出决算为0.94万元，全年共接待</w:t>
      </w:r>
      <w:r>
        <w:rPr>
          <w:rFonts w:hint="eastAsia" w:ascii="仿宋_GB2312" w:eastAsia="仿宋_GB2312"/>
          <w:sz w:val="32"/>
        </w:rPr>
        <w:t>来访团组0个，</w:t>
      </w:r>
      <w:r>
        <w:rPr>
          <w:rFonts w:hint="eastAsia" w:ascii="仿宋" w:hAnsi="仿宋" w:eastAsia="仿宋"/>
          <w:sz w:val="32"/>
          <w:szCs w:val="32"/>
        </w:rPr>
        <w:t>来访来宾80人次，主要是接待同级及上级检察机关交流工作和协办案件等</w:t>
      </w:r>
    </w:p>
    <w:p>
      <w:pPr>
        <w:ind w:firstLine="800" w:firstLineChars="250"/>
        <w:rPr>
          <w:rFonts w:ascii="仿宋" w:hAnsi="仿宋" w:eastAsia="仿宋" w:cs="黑体"/>
          <w:color w:val="000000"/>
          <w:kern w:val="0"/>
          <w:sz w:val="32"/>
          <w:szCs w:val="32"/>
        </w:rPr>
      </w:pPr>
      <w:r>
        <w:rPr>
          <w:rFonts w:hint="eastAsia" w:ascii="仿宋" w:hAnsi="仿宋" w:eastAsia="仿宋"/>
          <w:sz w:val="32"/>
          <w:szCs w:val="32"/>
        </w:rPr>
        <w:t>3、公务用车购置费及运行维护费支出决算为40.79万元，其中：公务用车购置费24.98万元，</w:t>
      </w:r>
      <w:r>
        <w:rPr>
          <w:rFonts w:hint="eastAsia" w:ascii="仿宋_GB2312" w:eastAsia="仿宋_GB2312"/>
          <w:sz w:val="32"/>
        </w:rPr>
        <w:t>更</w:t>
      </w:r>
      <w:r>
        <w:rPr>
          <w:rFonts w:hint="eastAsia" w:ascii="仿宋" w:hAnsi="仿宋" w:eastAsia="仿宋"/>
          <w:sz w:val="32"/>
          <w:szCs w:val="32"/>
        </w:rPr>
        <w:t>新特种专业技术用车1辆。公务用车运行维护费15.81万元，主要是用于执法执勤和侦查办案等所需公务车辆的燃料费、维修费、过路过桥费、年审费和保险费等支出，截止2020年12月31日，我单位开支财政拨款的公务用车保有量为3辆。</w:t>
      </w:r>
    </w:p>
    <w:p>
      <w:pPr>
        <w:pStyle w:val="12"/>
        <w:ind w:firstLine="640" w:firstLineChars="200"/>
        <w:rPr>
          <w:rFonts w:hAnsi="黑体"/>
          <w:sz w:val="32"/>
          <w:szCs w:val="32"/>
        </w:rPr>
      </w:pPr>
      <w:r>
        <w:rPr>
          <w:rFonts w:hint="eastAsia" w:hAnsi="黑体"/>
          <w:sz w:val="32"/>
          <w:szCs w:val="32"/>
        </w:rPr>
        <w:t>八、政府性基金预算收入支出决算情况</w:t>
      </w:r>
    </w:p>
    <w:p>
      <w:pPr>
        <w:pStyle w:val="12"/>
        <w:ind w:firstLine="640" w:firstLineChars="200"/>
        <w:jc w:val="both"/>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年度本单位无政府性基金收支</w:t>
      </w:r>
      <w:r>
        <w:rPr>
          <w:rFonts w:hint="eastAsia" w:ascii="仿宋" w:hAnsi="仿宋" w:eastAsia="仿宋"/>
          <w:sz w:val="32"/>
          <w:szCs w:val="32"/>
        </w:rPr>
        <w:t>。</w:t>
      </w:r>
    </w:p>
    <w:p>
      <w:pPr>
        <w:pStyle w:val="12"/>
        <w:ind w:firstLine="640" w:firstLineChars="200"/>
        <w:rPr>
          <w:rFonts w:hAnsi="黑体"/>
          <w:sz w:val="32"/>
          <w:szCs w:val="32"/>
        </w:rPr>
      </w:pPr>
      <w:r>
        <w:rPr>
          <w:rFonts w:hint="eastAsia" w:hAnsi="黑体"/>
          <w:sz w:val="32"/>
          <w:szCs w:val="32"/>
        </w:rPr>
        <w:t>九、关于机关运行经费支出说明</w:t>
      </w:r>
    </w:p>
    <w:p>
      <w:pPr>
        <w:pStyle w:val="12"/>
        <w:ind w:firstLine="640" w:firstLineChars="200"/>
        <w:jc w:val="both"/>
        <w:rPr>
          <w:rFonts w:ascii="仿宋" w:hAnsi="仿宋" w:eastAsia="仿宋"/>
          <w:sz w:val="32"/>
          <w:szCs w:val="32"/>
        </w:rPr>
      </w:pPr>
      <w:r>
        <w:rPr>
          <w:rFonts w:hint="eastAsia" w:ascii="仿宋" w:hAnsi="仿宋" w:eastAsia="仿宋"/>
          <w:sz w:val="32"/>
          <w:szCs w:val="32"/>
        </w:rPr>
        <w:t>本部门2020年度机关运行经费支出365.37万元，比2019年减少61.48万元，降低14.40%。主要原因是：①为落实中央和省委省政府过“紧”日子的政策要求，压减一般性支出;②资本性支出办公设备购置减少。</w:t>
      </w:r>
    </w:p>
    <w:p>
      <w:pPr>
        <w:pStyle w:val="12"/>
        <w:tabs>
          <w:tab w:val="left" w:pos="7980"/>
        </w:tabs>
        <w:ind w:firstLine="627" w:firstLineChars="196"/>
        <w:rPr>
          <w:rFonts w:hAnsi="黑体"/>
          <w:sz w:val="32"/>
          <w:szCs w:val="32"/>
        </w:rPr>
      </w:pPr>
      <w:r>
        <w:rPr>
          <w:rFonts w:hint="eastAsia" w:hAnsi="黑体"/>
          <w:sz w:val="32"/>
          <w:szCs w:val="32"/>
        </w:rPr>
        <w:t>十、一般性支出情况</w:t>
      </w:r>
    </w:p>
    <w:p>
      <w:pPr>
        <w:pStyle w:val="12"/>
        <w:ind w:firstLine="640" w:firstLineChars="200"/>
        <w:jc w:val="both"/>
        <w:rPr>
          <w:rFonts w:hint="default" w:ascii="仿宋" w:hAnsi="仿宋" w:eastAsia="仿宋"/>
          <w:sz w:val="32"/>
          <w:szCs w:val="32"/>
          <w:lang w:val="en-US" w:eastAsia="zh-CN"/>
        </w:rPr>
      </w:pPr>
      <w:r>
        <w:rPr>
          <w:rFonts w:hint="eastAsia" w:ascii="仿宋_GB2312" w:eastAsia="仿宋_GB2312"/>
          <w:sz w:val="32"/>
        </w:rPr>
        <w:t>2020年本部门会议费预算0万元，实际开支0万元。</w:t>
      </w:r>
      <w:r>
        <w:rPr>
          <w:rFonts w:hint="eastAsia" w:ascii="仿宋" w:hAnsi="仿宋" w:eastAsia="仿宋"/>
          <w:sz w:val="32"/>
          <w:szCs w:val="32"/>
        </w:rPr>
        <w:t>2020年本部门培训费预算0万元，实际开支0.48万元，培训人数42人，培训内容党史知识培训。</w:t>
      </w:r>
      <w:r>
        <w:rPr>
          <w:rFonts w:ascii="仿宋" w:hAnsi="仿宋" w:eastAsia="仿宋"/>
          <w:sz w:val="32"/>
          <w:szCs w:val="32"/>
        </w:rPr>
        <w:t xml:space="preserve"> </w:t>
      </w:r>
      <w:r>
        <w:rPr>
          <w:rFonts w:hint="eastAsia" w:ascii="仿宋" w:hAnsi="仿宋" w:eastAsia="仿宋"/>
          <w:sz w:val="32"/>
          <w:szCs w:val="32"/>
          <w:lang w:val="en-US" w:eastAsia="zh-CN"/>
        </w:rPr>
        <w:t>2020年本单位未举办节庆、晚会、赛事等活动。</w:t>
      </w:r>
    </w:p>
    <w:p>
      <w:pPr>
        <w:pStyle w:val="12"/>
        <w:ind w:firstLine="627" w:firstLineChars="196"/>
        <w:rPr>
          <w:rFonts w:hAnsi="黑体"/>
          <w:sz w:val="32"/>
          <w:szCs w:val="32"/>
        </w:rPr>
      </w:pPr>
      <w:r>
        <w:rPr>
          <w:rFonts w:hint="eastAsia" w:hAnsi="黑体"/>
          <w:sz w:val="32"/>
          <w:szCs w:val="32"/>
        </w:rPr>
        <w:t>十一、关于政府采购支出说明</w:t>
      </w:r>
    </w:p>
    <w:p>
      <w:pPr>
        <w:pStyle w:val="6"/>
        <w:spacing w:before="0" w:beforeAutospacing="0" w:after="0" w:afterAutospacing="0" w:line="560" w:lineRule="exact"/>
        <w:ind w:firstLine="640" w:firstLineChars="200"/>
        <w:rPr>
          <w:rFonts w:ascii="仿宋_GB2312" w:eastAsia="仿宋_GB2312"/>
          <w:sz w:val="32"/>
        </w:rPr>
      </w:pPr>
      <w:r>
        <w:rPr>
          <w:rFonts w:hint="eastAsia" w:ascii="仿宋" w:hAnsi="仿宋" w:eastAsia="仿宋"/>
          <w:sz w:val="32"/>
          <w:szCs w:val="32"/>
        </w:rPr>
        <w:t>本部门2020年度政府采购支出总额104.08万元，其中：政府采购货物支出54.79万元、政府采购工程支出39.29 万元、政府采购服务支出10万元。授予中小企业合同金额83.26万元，占政府采购支出总额的80%，其中：授予小微企业合同金额74.93万元，占政府采购支出总额的72%。</w:t>
      </w:r>
      <w:r>
        <w:rPr>
          <w:rFonts w:hint="eastAsia" w:ascii="仿宋_GB2312" w:eastAsia="仿宋_GB2312"/>
          <w:sz w:val="32"/>
        </w:rPr>
        <w:t>（政府采购金额的计算口径为：本部门纳入2020年度部门预算范围的各项政府采购支出金额之和，不包括涉密采购项目的支出金额）</w:t>
      </w:r>
    </w:p>
    <w:p>
      <w:pPr>
        <w:pStyle w:val="12"/>
        <w:ind w:firstLine="640" w:firstLineChars="200"/>
        <w:jc w:val="both"/>
        <w:rPr>
          <w:rFonts w:hAnsi="黑体"/>
          <w:sz w:val="32"/>
          <w:szCs w:val="32"/>
        </w:rPr>
      </w:pPr>
      <w:r>
        <w:rPr>
          <w:rFonts w:hint="eastAsia" w:hAnsi="黑体"/>
          <w:sz w:val="32"/>
          <w:szCs w:val="32"/>
        </w:rPr>
        <w:t>十二、关于国有资产占用情况说明</w:t>
      </w:r>
    </w:p>
    <w:p>
      <w:pPr>
        <w:pStyle w:val="12"/>
        <w:ind w:firstLine="640" w:firstLineChars="200"/>
        <w:jc w:val="both"/>
        <w:rPr>
          <w:rFonts w:ascii="仿宋" w:hAnsi="仿宋" w:eastAsia="仿宋"/>
          <w:sz w:val="32"/>
          <w:szCs w:val="32"/>
        </w:rPr>
      </w:pPr>
      <w:r>
        <w:rPr>
          <w:rFonts w:hint="eastAsia" w:ascii="仿宋" w:hAnsi="仿宋" w:eastAsia="仿宋"/>
          <w:sz w:val="32"/>
          <w:szCs w:val="32"/>
        </w:rPr>
        <w:t>截至2020年12月31日，本单位共有车辆3辆，其中执法执勤用车2辆、特种专业技术用车1辆；单位价值50万元以上通用设备0台（套）；单位价值100万元以上专用设备0（套）。</w:t>
      </w:r>
    </w:p>
    <w:p>
      <w:pPr>
        <w:pStyle w:val="12"/>
        <w:ind w:firstLine="640" w:firstLineChars="200"/>
        <w:jc w:val="both"/>
        <w:rPr>
          <w:rFonts w:hAnsi="黑体"/>
          <w:sz w:val="32"/>
          <w:szCs w:val="32"/>
        </w:rPr>
      </w:pPr>
      <w:r>
        <w:rPr>
          <w:rFonts w:hint="eastAsia" w:hAnsi="黑体"/>
          <w:sz w:val="32"/>
          <w:szCs w:val="32"/>
        </w:rPr>
        <w:t>十三、关于2020年度预算绩效情况的说明</w:t>
      </w:r>
    </w:p>
    <w:p>
      <w:pPr>
        <w:pStyle w:val="12"/>
        <w:ind w:firstLine="640" w:firstLineChars="200"/>
        <w:jc w:val="both"/>
        <w:rPr>
          <w:rFonts w:ascii="仿宋" w:hAnsi="仿宋" w:eastAsia="仿宋"/>
          <w:sz w:val="32"/>
          <w:szCs w:val="32"/>
        </w:rPr>
      </w:pPr>
      <w:r>
        <w:rPr>
          <w:rFonts w:ascii="仿宋" w:hAnsi="仿宋" w:eastAsia="仿宋"/>
          <w:sz w:val="32"/>
          <w:szCs w:val="32"/>
        </w:rPr>
        <w:t>2020年，我院大力加强预算管理，实施了一系列的管理举措，保障了整体支出绩效目标达成。</w:t>
      </w:r>
    </w:p>
    <w:p>
      <w:pPr>
        <w:pStyle w:val="12"/>
        <w:ind w:firstLine="640" w:firstLineChars="200"/>
        <w:jc w:val="both"/>
        <w:rPr>
          <w:rFonts w:ascii="仿宋" w:hAnsi="仿宋" w:eastAsia="仿宋"/>
          <w:b/>
          <w:sz w:val="32"/>
          <w:szCs w:val="32"/>
        </w:rPr>
      </w:pPr>
      <w:bookmarkStart w:id="4" w:name="_Toc764"/>
      <w:bookmarkEnd w:id="4"/>
      <w:bookmarkStart w:id="5" w:name="_Toc24127"/>
      <w:r>
        <w:rPr>
          <w:rFonts w:ascii="仿宋" w:hAnsi="仿宋" w:eastAsia="仿宋"/>
          <w:b/>
          <w:sz w:val="32"/>
          <w:szCs w:val="32"/>
        </w:rPr>
        <w:t>1.</w:t>
      </w:r>
      <w:bookmarkEnd w:id="5"/>
      <w:r>
        <w:rPr>
          <w:rFonts w:ascii="仿宋" w:hAnsi="仿宋" w:eastAsia="仿宋"/>
          <w:b/>
          <w:sz w:val="32"/>
          <w:szCs w:val="32"/>
        </w:rPr>
        <w:t>加强协调确保了经费保障到位</w:t>
      </w:r>
    </w:p>
    <w:p>
      <w:pPr>
        <w:pStyle w:val="12"/>
        <w:ind w:firstLine="640" w:firstLineChars="200"/>
        <w:jc w:val="both"/>
        <w:rPr>
          <w:rFonts w:ascii="仿宋" w:hAnsi="仿宋" w:eastAsia="仿宋"/>
          <w:sz w:val="32"/>
          <w:szCs w:val="32"/>
        </w:rPr>
      </w:pPr>
      <w:r>
        <w:rPr>
          <w:rFonts w:ascii="仿宋" w:hAnsi="仿宋" w:eastAsia="仿宋"/>
          <w:sz w:val="32"/>
          <w:szCs w:val="32"/>
        </w:rPr>
        <w:t>在省财政厅的大力支持下，经费保障基本到位，较好地保障了重点经费的需求。年中追加经费</w:t>
      </w:r>
      <w:r>
        <w:rPr>
          <w:rFonts w:hint="eastAsia" w:ascii="仿宋" w:hAnsi="仿宋" w:eastAsia="仿宋"/>
          <w:sz w:val="32"/>
          <w:szCs w:val="32"/>
        </w:rPr>
        <w:t>308</w:t>
      </w:r>
      <w:r>
        <w:rPr>
          <w:rFonts w:ascii="仿宋" w:hAnsi="仿宋" w:eastAsia="仿宋"/>
          <w:sz w:val="32"/>
          <w:szCs w:val="32"/>
        </w:rPr>
        <w:t>万元，</w:t>
      </w:r>
      <w:r>
        <w:rPr>
          <w:rFonts w:hint="eastAsia" w:ascii="仿宋" w:hAnsi="仿宋" w:eastAsia="仿宋"/>
          <w:sz w:val="32"/>
          <w:szCs w:val="32"/>
        </w:rPr>
        <w:t>扣减</w:t>
      </w:r>
      <w:r>
        <w:rPr>
          <w:rFonts w:ascii="仿宋" w:hAnsi="仿宋" w:eastAsia="仿宋"/>
          <w:sz w:val="32"/>
          <w:szCs w:val="32"/>
        </w:rPr>
        <w:t>新核定司法绩效奖与2017年差额</w:t>
      </w:r>
      <w:r>
        <w:rPr>
          <w:rFonts w:hint="eastAsia" w:ascii="仿宋" w:hAnsi="仿宋" w:eastAsia="仿宋"/>
          <w:sz w:val="32"/>
          <w:szCs w:val="32"/>
        </w:rPr>
        <w:t>30</w:t>
      </w:r>
      <w:r>
        <w:rPr>
          <w:rFonts w:ascii="仿宋" w:hAnsi="仿宋" w:eastAsia="仿宋"/>
          <w:sz w:val="32"/>
          <w:szCs w:val="32"/>
        </w:rPr>
        <w:t>万元</w:t>
      </w:r>
      <w:r>
        <w:rPr>
          <w:rFonts w:hint="eastAsia" w:ascii="仿宋" w:hAnsi="仿宋" w:eastAsia="仿宋"/>
          <w:sz w:val="32"/>
          <w:szCs w:val="32"/>
        </w:rPr>
        <w:t>,年中实际追加经费用278</w:t>
      </w:r>
      <w:r>
        <w:rPr>
          <w:rFonts w:ascii="仿宋" w:hAnsi="仿宋" w:eastAsia="仿宋"/>
          <w:sz w:val="32"/>
          <w:szCs w:val="32"/>
        </w:rPr>
        <w:t>万元。</w:t>
      </w:r>
    </w:p>
    <w:p>
      <w:pPr>
        <w:pStyle w:val="12"/>
        <w:ind w:firstLine="640" w:firstLineChars="200"/>
        <w:jc w:val="both"/>
        <w:rPr>
          <w:rFonts w:ascii="仿宋" w:hAnsi="仿宋" w:eastAsia="仿宋"/>
          <w:b/>
          <w:sz w:val="32"/>
          <w:szCs w:val="32"/>
        </w:rPr>
      </w:pPr>
      <w:bookmarkStart w:id="6" w:name="_Toc30334"/>
      <w:bookmarkEnd w:id="6"/>
      <w:bookmarkStart w:id="7" w:name="_Toc9956"/>
      <w:r>
        <w:rPr>
          <w:rFonts w:ascii="仿宋" w:hAnsi="仿宋" w:eastAsia="仿宋"/>
          <w:b/>
          <w:sz w:val="32"/>
          <w:szCs w:val="32"/>
        </w:rPr>
        <w:t>2.</w:t>
      </w:r>
      <w:bookmarkEnd w:id="7"/>
      <w:r>
        <w:rPr>
          <w:rFonts w:ascii="仿宋" w:hAnsi="仿宋" w:eastAsia="仿宋"/>
          <w:b/>
          <w:sz w:val="32"/>
          <w:szCs w:val="32"/>
        </w:rPr>
        <w:t>落实“过紧日子”要求，完成了预算指标压减工作</w:t>
      </w:r>
    </w:p>
    <w:p>
      <w:pPr>
        <w:pStyle w:val="12"/>
        <w:ind w:firstLine="640" w:firstLineChars="200"/>
        <w:jc w:val="both"/>
        <w:rPr>
          <w:rFonts w:ascii="仿宋" w:hAnsi="仿宋" w:eastAsia="仿宋"/>
          <w:sz w:val="32"/>
          <w:szCs w:val="32"/>
        </w:rPr>
      </w:pPr>
      <w:r>
        <w:rPr>
          <w:rFonts w:hint="eastAsia" w:ascii="仿宋" w:hAnsi="仿宋" w:eastAsia="仿宋"/>
          <w:sz w:val="32"/>
          <w:szCs w:val="32"/>
        </w:rPr>
        <w:t>通过指标调整、指标调剂使用</w:t>
      </w:r>
      <w:r>
        <w:rPr>
          <w:rFonts w:ascii="仿宋" w:hAnsi="仿宋" w:eastAsia="仿宋"/>
          <w:sz w:val="32"/>
          <w:szCs w:val="32"/>
        </w:rPr>
        <w:t>，</w:t>
      </w:r>
      <w:r>
        <w:rPr>
          <w:rFonts w:hint="eastAsia" w:ascii="仿宋" w:hAnsi="仿宋" w:eastAsia="仿宋"/>
          <w:sz w:val="32"/>
          <w:szCs w:val="32"/>
        </w:rPr>
        <w:t>结合实际，精打细算</w:t>
      </w:r>
      <w:r>
        <w:rPr>
          <w:rFonts w:ascii="仿宋" w:hAnsi="仿宋" w:eastAsia="仿宋"/>
          <w:sz w:val="32"/>
          <w:szCs w:val="32"/>
        </w:rPr>
        <w:t>落实过紧日子要求</w:t>
      </w:r>
      <w:r>
        <w:rPr>
          <w:rFonts w:hint="eastAsia" w:ascii="仿宋" w:hAnsi="仿宋" w:eastAsia="仿宋"/>
          <w:sz w:val="32"/>
          <w:szCs w:val="32"/>
        </w:rPr>
        <w:t xml:space="preserve">，完成了预算指标压减工作。 </w:t>
      </w:r>
    </w:p>
    <w:p>
      <w:pPr>
        <w:pStyle w:val="12"/>
        <w:ind w:firstLine="640" w:firstLineChars="200"/>
        <w:jc w:val="both"/>
        <w:rPr>
          <w:rFonts w:ascii="仿宋" w:hAnsi="仿宋" w:eastAsia="仿宋"/>
          <w:b/>
          <w:sz w:val="32"/>
          <w:szCs w:val="32"/>
        </w:rPr>
      </w:pPr>
      <w:bookmarkStart w:id="8" w:name="_Toc5162"/>
      <w:bookmarkEnd w:id="8"/>
      <w:bookmarkStart w:id="9" w:name="_Toc30004"/>
      <w:r>
        <w:rPr>
          <w:rFonts w:ascii="仿宋" w:hAnsi="仿宋" w:eastAsia="仿宋"/>
          <w:b/>
          <w:sz w:val="32"/>
          <w:szCs w:val="32"/>
        </w:rPr>
        <w:t>3.</w:t>
      </w:r>
      <w:bookmarkEnd w:id="9"/>
      <w:r>
        <w:rPr>
          <w:rFonts w:ascii="仿宋" w:hAnsi="仿宋" w:eastAsia="仿宋"/>
          <w:b/>
          <w:sz w:val="32"/>
          <w:szCs w:val="32"/>
        </w:rPr>
        <w:t>建立了预算执行分析机制，按期进行分析通报</w:t>
      </w:r>
    </w:p>
    <w:p>
      <w:pPr>
        <w:pStyle w:val="12"/>
        <w:ind w:firstLine="640" w:firstLineChars="200"/>
        <w:jc w:val="both"/>
        <w:rPr>
          <w:rFonts w:ascii="仿宋" w:hAnsi="仿宋" w:eastAsia="仿宋"/>
          <w:sz w:val="32"/>
          <w:szCs w:val="32"/>
        </w:rPr>
      </w:pPr>
      <w:r>
        <w:rPr>
          <w:rFonts w:ascii="仿宋" w:hAnsi="仿宋" w:eastAsia="仿宋"/>
          <w:sz w:val="32"/>
          <w:szCs w:val="32"/>
        </w:rPr>
        <w:t>为加强预算管理，我院</w:t>
      </w:r>
      <w:r>
        <w:rPr>
          <w:rFonts w:hint="eastAsia" w:ascii="仿宋" w:hAnsi="仿宋" w:eastAsia="仿宋"/>
          <w:sz w:val="32"/>
          <w:szCs w:val="32"/>
        </w:rPr>
        <w:t>每月</w:t>
      </w:r>
      <w:r>
        <w:rPr>
          <w:rFonts w:ascii="仿宋" w:hAnsi="仿宋" w:eastAsia="仿宋"/>
          <w:sz w:val="32"/>
          <w:szCs w:val="32"/>
        </w:rPr>
        <w:t>进行财务收支情况汇总，出具月度财务收支情况报告，向相关领导上报经费支出情况，对预算执行偏差查找原因，提出改进措施，有效加强了单位的预算管理。</w:t>
      </w:r>
    </w:p>
    <w:p>
      <w:pPr>
        <w:pStyle w:val="12"/>
        <w:ind w:firstLine="640" w:firstLineChars="200"/>
        <w:jc w:val="both"/>
        <w:rPr>
          <w:rFonts w:ascii="仿宋" w:hAnsi="仿宋" w:eastAsia="仿宋"/>
          <w:b/>
          <w:sz w:val="32"/>
          <w:szCs w:val="32"/>
        </w:rPr>
      </w:pPr>
      <w:bookmarkStart w:id="10" w:name="_Toc29211"/>
      <w:bookmarkEnd w:id="10"/>
      <w:bookmarkStart w:id="11" w:name="_Toc23771"/>
      <w:bookmarkEnd w:id="11"/>
      <w:bookmarkStart w:id="12" w:name="_Toc14591"/>
      <w:r>
        <w:rPr>
          <w:rFonts w:ascii="仿宋" w:hAnsi="仿宋" w:eastAsia="仿宋"/>
          <w:b/>
          <w:sz w:val="32"/>
          <w:szCs w:val="32"/>
        </w:rPr>
        <w:t>4.</w:t>
      </w:r>
      <w:bookmarkEnd w:id="12"/>
      <w:r>
        <w:rPr>
          <w:rFonts w:ascii="仿宋" w:hAnsi="仿宋" w:eastAsia="仿宋"/>
          <w:b/>
          <w:sz w:val="32"/>
          <w:szCs w:val="32"/>
        </w:rPr>
        <w:t>加强了项目经费的管理及绩效评价工作</w:t>
      </w:r>
    </w:p>
    <w:p>
      <w:pPr>
        <w:pStyle w:val="12"/>
        <w:ind w:firstLine="640" w:firstLineChars="200"/>
        <w:jc w:val="both"/>
        <w:rPr>
          <w:rFonts w:ascii="仿宋" w:hAnsi="仿宋" w:eastAsia="仿宋"/>
          <w:sz w:val="32"/>
          <w:szCs w:val="32"/>
        </w:rPr>
      </w:pPr>
      <w:r>
        <w:rPr>
          <w:rFonts w:ascii="仿宋" w:hAnsi="仿宋" w:eastAsia="仿宋"/>
          <w:sz w:val="32"/>
          <w:szCs w:val="32"/>
        </w:rPr>
        <w:t>（1）根据财政厅</w:t>
      </w:r>
      <w:r>
        <w:rPr>
          <w:rFonts w:hint="eastAsia" w:ascii="仿宋" w:hAnsi="仿宋" w:eastAsia="仿宋"/>
          <w:sz w:val="32"/>
          <w:szCs w:val="32"/>
        </w:rPr>
        <w:t>、省院</w:t>
      </w:r>
      <w:r>
        <w:rPr>
          <w:rFonts w:ascii="仿宋" w:hAnsi="仿宋" w:eastAsia="仿宋"/>
          <w:sz w:val="32"/>
          <w:szCs w:val="32"/>
        </w:rPr>
        <w:t>要求，</w:t>
      </w:r>
      <w:r>
        <w:rPr>
          <w:rFonts w:hint="eastAsia" w:ascii="仿宋" w:hAnsi="仿宋" w:eastAsia="仿宋"/>
          <w:sz w:val="32"/>
          <w:szCs w:val="32"/>
        </w:rPr>
        <w:t>及时上报</w:t>
      </w:r>
      <w:r>
        <w:rPr>
          <w:rFonts w:ascii="仿宋" w:hAnsi="仿宋" w:eastAsia="仿宋"/>
          <w:sz w:val="32"/>
          <w:szCs w:val="32"/>
        </w:rPr>
        <w:t>《2020年省以下检察院项目经费需求情况摸底调查统计汇总表》。</w:t>
      </w:r>
      <w:r>
        <w:rPr>
          <w:rFonts w:hint="eastAsia" w:ascii="仿宋" w:hAnsi="仿宋" w:eastAsia="仿宋"/>
          <w:sz w:val="32"/>
          <w:szCs w:val="32"/>
        </w:rPr>
        <w:t>积极与省财政厅、省院沟通协调，做好项目的立项、预算评审、招标及财政评审等工作。</w:t>
      </w:r>
    </w:p>
    <w:p>
      <w:pPr>
        <w:pStyle w:val="12"/>
        <w:ind w:firstLine="640" w:firstLineChars="200"/>
        <w:jc w:val="both"/>
        <w:rPr>
          <w:rFonts w:ascii="仿宋" w:hAnsi="仿宋" w:eastAsia="仿宋"/>
          <w:sz w:val="32"/>
          <w:szCs w:val="32"/>
        </w:rPr>
      </w:pPr>
      <w:r>
        <w:rPr>
          <w:rFonts w:ascii="仿宋" w:hAnsi="仿宋" w:eastAsia="仿宋"/>
          <w:sz w:val="32"/>
          <w:szCs w:val="32"/>
        </w:rPr>
        <w:t>（2）按照省财政厅</w:t>
      </w:r>
      <w:r>
        <w:rPr>
          <w:rFonts w:hint="eastAsia" w:ascii="仿宋" w:hAnsi="仿宋" w:eastAsia="仿宋"/>
          <w:sz w:val="32"/>
          <w:szCs w:val="32"/>
        </w:rPr>
        <w:t>、省院</w:t>
      </w:r>
      <w:r>
        <w:rPr>
          <w:rFonts w:ascii="仿宋" w:hAnsi="仿宋" w:eastAsia="仿宋"/>
          <w:sz w:val="32"/>
          <w:szCs w:val="32"/>
        </w:rPr>
        <w:t>的要求，我院在2020年7月完成了全省检察机关项目支出绩效监控工作，并按要求上报了整体支出绩效自评报告、项目支出绩效监控报告。</w:t>
      </w:r>
    </w:p>
    <w:p>
      <w:pPr>
        <w:pStyle w:val="12"/>
        <w:ind w:firstLine="640" w:firstLineChars="200"/>
        <w:jc w:val="both"/>
        <w:rPr>
          <w:rFonts w:ascii="仿宋" w:hAnsi="仿宋" w:eastAsia="仿宋"/>
          <w:b/>
          <w:sz w:val="32"/>
          <w:szCs w:val="32"/>
        </w:rPr>
      </w:pPr>
      <w:bookmarkStart w:id="13" w:name="_Toc29289"/>
      <w:bookmarkEnd w:id="13"/>
      <w:bookmarkStart w:id="14" w:name="_Toc11457"/>
      <w:r>
        <w:rPr>
          <w:rFonts w:ascii="仿宋" w:hAnsi="仿宋" w:eastAsia="仿宋"/>
          <w:b/>
          <w:sz w:val="32"/>
          <w:szCs w:val="32"/>
        </w:rPr>
        <w:t>5.</w:t>
      </w:r>
      <w:bookmarkEnd w:id="14"/>
      <w:r>
        <w:rPr>
          <w:rFonts w:ascii="仿宋" w:hAnsi="仿宋" w:eastAsia="仿宋"/>
          <w:b/>
          <w:sz w:val="32"/>
          <w:szCs w:val="32"/>
        </w:rPr>
        <w:t>进一步规范了资产管理</w:t>
      </w:r>
    </w:p>
    <w:p>
      <w:pPr>
        <w:pStyle w:val="12"/>
        <w:ind w:firstLine="640" w:firstLineChars="200"/>
        <w:jc w:val="both"/>
        <w:rPr>
          <w:rFonts w:ascii="仿宋" w:hAnsi="仿宋" w:eastAsia="仿宋"/>
          <w:sz w:val="32"/>
          <w:szCs w:val="32"/>
        </w:rPr>
      </w:pPr>
      <w:r>
        <w:rPr>
          <w:rFonts w:ascii="仿宋" w:hAnsi="仿宋" w:eastAsia="仿宋"/>
          <w:sz w:val="32"/>
          <w:szCs w:val="32"/>
        </w:rPr>
        <w:t>（1）全面开展了资产清查和建档工作</w:t>
      </w:r>
    </w:p>
    <w:p>
      <w:pPr>
        <w:pStyle w:val="12"/>
        <w:ind w:firstLine="640" w:firstLineChars="200"/>
        <w:jc w:val="both"/>
        <w:rPr>
          <w:rFonts w:ascii="仿宋" w:hAnsi="仿宋" w:eastAsia="仿宋"/>
          <w:sz w:val="32"/>
          <w:szCs w:val="32"/>
        </w:rPr>
      </w:pPr>
      <w:r>
        <w:rPr>
          <w:rFonts w:ascii="仿宋" w:hAnsi="仿宋" w:eastAsia="仿宋"/>
          <w:sz w:val="32"/>
          <w:szCs w:val="32"/>
        </w:rPr>
        <w:t>配合</w:t>
      </w:r>
      <w:r>
        <w:rPr>
          <w:rFonts w:hint="eastAsia" w:ascii="仿宋" w:hAnsi="仿宋" w:eastAsia="仿宋"/>
          <w:sz w:val="32"/>
          <w:szCs w:val="32"/>
        </w:rPr>
        <w:t>上级要求</w:t>
      </w:r>
      <w:r>
        <w:rPr>
          <w:rFonts w:ascii="仿宋" w:hAnsi="仿宋" w:eastAsia="仿宋"/>
          <w:sz w:val="32"/>
          <w:szCs w:val="32"/>
        </w:rPr>
        <w:t>，开展了办公及办案用房、车辆管理的清理建档工作。包括对房土复核调研、数据填报，佐证材料上传的审核；房屋（门面）出租规范、公务用车管理分析，以及异常警车的处理。理清了资产状况，为今后资产的规范管理奠定了基础。同时做好资产月报工作。</w:t>
      </w:r>
    </w:p>
    <w:p>
      <w:pPr>
        <w:pStyle w:val="12"/>
        <w:ind w:firstLine="640" w:firstLineChars="200"/>
        <w:jc w:val="both"/>
        <w:rPr>
          <w:rFonts w:ascii="仿宋" w:hAnsi="仿宋" w:eastAsia="仿宋"/>
          <w:sz w:val="32"/>
          <w:szCs w:val="32"/>
        </w:rPr>
      </w:pPr>
      <w:r>
        <w:rPr>
          <w:rFonts w:ascii="仿宋" w:hAnsi="仿宋" w:eastAsia="仿宋"/>
          <w:sz w:val="32"/>
          <w:szCs w:val="32"/>
        </w:rPr>
        <w:t>（2）枪支弹药安全管理常抓不懈</w:t>
      </w:r>
    </w:p>
    <w:p>
      <w:pPr>
        <w:pStyle w:val="12"/>
        <w:ind w:firstLine="640" w:firstLineChars="200"/>
        <w:jc w:val="both"/>
        <w:rPr>
          <w:rFonts w:ascii="仿宋" w:hAnsi="仿宋" w:eastAsia="仿宋"/>
          <w:sz w:val="32"/>
          <w:szCs w:val="32"/>
        </w:rPr>
      </w:pPr>
      <w:r>
        <w:rPr>
          <w:rFonts w:ascii="仿宋" w:hAnsi="仿宋" w:eastAsia="仿宋"/>
          <w:sz w:val="32"/>
          <w:szCs w:val="32"/>
        </w:rPr>
        <w:t>枪弹管理无小事，我院严格落实检察长枪弹管理第一责任人职责，重点抓重大节假日枪弹安全管理，先后</w:t>
      </w:r>
      <w:r>
        <w:rPr>
          <w:rFonts w:hint="eastAsia" w:ascii="仿宋" w:hAnsi="仿宋" w:eastAsia="仿宋"/>
          <w:sz w:val="32"/>
          <w:szCs w:val="32"/>
        </w:rPr>
        <w:t>在</w:t>
      </w:r>
      <w:r>
        <w:rPr>
          <w:rFonts w:ascii="仿宋" w:hAnsi="仿宋" w:eastAsia="仿宋"/>
          <w:sz w:val="32"/>
          <w:szCs w:val="32"/>
        </w:rPr>
        <w:t>元旦、春节</w:t>
      </w:r>
      <w:r>
        <w:rPr>
          <w:rFonts w:hint="eastAsia" w:ascii="仿宋" w:hAnsi="仿宋" w:eastAsia="仿宋"/>
          <w:sz w:val="32"/>
          <w:szCs w:val="32"/>
        </w:rPr>
        <w:t>、国庆</w:t>
      </w:r>
      <w:r>
        <w:rPr>
          <w:rFonts w:ascii="仿宋" w:hAnsi="仿宋" w:eastAsia="仿宋"/>
          <w:sz w:val="32"/>
          <w:szCs w:val="32"/>
        </w:rPr>
        <w:t>开展了枪支弹药安全检查，未发生任何安全事故。</w:t>
      </w:r>
    </w:p>
    <w:p>
      <w:pPr>
        <w:rPr>
          <w:rFonts w:cs="黑体" w:asciiTheme="minorEastAsia" w:hAnsiTheme="minorEastAsia"/>
          <w:color w:val="000000"/>
          <w:kern w:val="0"/>
          <w:sz w:val="32"/>
          <w:szCs w:val="32"/>
        </w:rPr>
      </w:pPr>
    </w:p>
    <w:p>
      <w:pPr>
        <w:pStyle w:val="12"/>
        <w:jc w:val="center"/>
        <w:rPr>
          <w:rStyle w:val="9"/>
          <w:rFonts w:hAnsi="黑体"/>
          <w:color w:val="auto"/>
          <w:sz w:val="44"/>
          <w:szCs w:val="44"/>
          <w:shd w:val="clear" w:color="auto" w:fill="FFFFFF"/>
        </w:rPr>
      </w:pPr>
      <w:r>
        <w:rPr>
          <w:rStyle w:val="9"/>
          <w:rFonts w:hint="eastAsia" w:hAnsi="黑体"/>
          <w:color w:val="auto"/>
          <w:sz w:val="44"/>
          <w:szCs w:val="44"/>
          <w:shd w:val="clear" w:color="auto" w:fill="FFFFFF"/>
        </w:rPr>
        <w:t>第四部分  名词解释</w:t>
      </w:r>
    </w:p>
    <w:p>
      <w:pPr>
        <w:ind w:firstLine="640" w:firstLineChars="200"/>
        <w:jc w:val="left"/>
        <w:rPr>
          <w:rFonts w:cs="黑体" w:asciiTheme="minorEastAsia" w:hAnsiTheme="minorEastAsia"/>
          <w:color w:val="000000"/>
          <w:kern w:val="0"/>
          <w:sz w:val="32"/>
          <w:szCs w:val="32"/>
        </w:rPr>
      </w:pPr>
    </w:p>
    <w:p>
      <w:pPr>
        <w:adjustRightInd w:val="0"/>
        <w:snapToGrid w:val="0"/>
        <w:spacing w:line="560" w:lineRule="exact"/>
        <w:ind w:firstLine="640" w:firstLineChars="200"/>
      </w:pPr>
      <w:r>
        <w:rPr>
          <w:rStyle w:val="9"/>
          <w:rFonts w:hint="eastAsia" w:ascii="黑体" w:hAnsi="黑体" w:eastAsia="黑体" w:cs="楷体"/>
          <w:b w:val="0"/>
          <w:sz w:val="32"/>
          <w:szCs w:val="32"/>
          <w:shd w:val="clear" w:color="auto" w:fill="FFFFFF"/>
        </w:rPr>
        <w:t>一、财政拨款收入</w:t>
      </w:r>
      <w:r>
        <w:rPr>
          <w:rStyle w:val="9"/>
          <w:rFonts w:ascii="黑体" w:hAnsi="黑体" w:eastAsia="黑体" w:cs="楷体"/>
          <w:b w:val="0"/>
          <w:shd w:val="clear" w:color="auto" w:fill="FFFFFF"/>
        </w:rPr>
        <w:t>：</w:t>
      </w:r>
      <w:r>
        <w:rPr>
          <w:rFonts w:ascii="仿宋" w:hAnsi="仿宋" w:eastAsia="仿宋" w:cs="仿宋_GB2312"/>
          <w:color w:val="353535"/>
          <w:sz w:val="32"/>
          <w:szCs w:val="32"/>
        </w:rPr>
        <w:t>指省本级财政当年拨付的资金。</w:t>
      </w:r>
    </w:p>
    <w:p>
      <w:pPr>
        <w:adjustRightInd w:val="0"/>
        <w:snapToGrid w:val="0"/>
        <w:spacing w:line="560" w:lineRule="exact"/>
        <w:ind w:firstLine="640" w:firstLineChars="200"/>
        <w:rPr>
          <w:rFonts w:ascii="仿宋" w:hAnsi="仿宋" w:eastAsia="仿宋"/>
        </w:rPr>
      </w:pPr>
      <w:r>
        <w:rPr>
          <w:rStyle w:val="9"/>
          <w:rFonts w:hint="eastAsia" w:ascii="黑体" w:hAnsi="黑体" w:eastAsia="黑体" w:cs="楷体"/>
          <w:b w:val="0"/>
          <w:sz w:val="32"/>
          <w:szCs w:val="32"/>
          <w:shd w:val="clear" w:color="auto" w:fill="FFFFFF"/>
        </w:rPr>
        <w:t>二、其他收入：</w:t>
      </w:r>
      <w:r>
        <w:rPr>
          <w:rFonts w:ascii="仿宋" w:hAnsi="仿宋" w:eastAsia="仿宋" w:cs="仿宋_GB2312"/>
          <w:color w:val="353535"/>
          <w:sz w:val="32"/>
          <w:szCs w:val="32"/>
        </w:rPr>
        <w:t>指除财政拨款收入、事业收入等以外的收入。主要是指非本级财政拨款收入、补助收入、存款利息收入等。</w:t>
      </w:r>
    </w:p>
    <w:p>
      <w:pPr>
        <w:adjustRightInd w:val="0"/>
        <w:snapToGrid w:val="0"/>
        <w:spacing w:line="560" w:lineRule="exact"/>
        <w:ind w:firstLine="640" w:firstLineChars="200"/>
        <w:rPr>
          <w:rFonts w:ascii="仿宋" w:hAnsi="仿宋" w:eastAsia="仿宋" w:cs="仿宋_GB2312"/>
          <w:color w:val="353535"/>
          <w:sz w:val="32"/>
          <w:szCs w:val="32"/>
        </w:rPr>
      </w:pPr>
      <w:r>
        <w:rPr>
          <w:rStyle w:val="9"/>
          <w:rFonts w:hint="eastAsia" w:ascii="黑体" w:hAnsi="黑体" w:eastAsia="黑体" w:cs="楷体"/>
          <w:b w:val="0"/>
          <w:sz w:val="32"/>
          <w:szCs w:val="32"/>
          <w:shd w:val="clear" w:color="auto" w:fill="FFFFFF"/>
        </w:rPr>
        <w:t>三、上年结转和结余：</w:t>
      </w:r>
      <w:r>
        <w:rPr>
          <w:rFonts w:ascii="仿宋" w:hAnsi="仿宋" w:eastAsia="仿宋" w:cs="仿宋_GB2312"/>
          <w:color w:val="353535"/>
          <w:sz w:val="32"/>
          <w:szCs w:val="32"/>
        </w:rPr>
        <w:t>指以前年度尚未完成、结转到本年仍按原规定用途继续使用的资金，或项目已完成产生的结余资金。</w:t>
      </w:r>
    </w:p>
    <w:p>
      <w:pPr>
        <w:adjustRightInd w:val="0"/>
        <w:snapToGrid w:val="0"/>
        <w:spacing w:line="560" w:lineRule="exact"/>
        <w:ind w:firstLine="640" w:firstLineChars="200"/>
        <w:rPr>
          <w:rFonts w:ascii="仿宋" w:hAnsi="仿宋" w:eastAsia="仿宋" w:cs="仿宋_GB2312"/>
          <w:color w:val="353535"/>
          <w:sz w:val="32"/>
          <w:szCs w:val="32"/>
        </w:rPr>
      </w:pPr>
      <w:r>
        <w:rPr>
          <w:rStyle w:val="9"/>
          <w:rFonts w:hint="eastAsia" w:ascii="黑体" w:hAnsi="黑体" w:eastAsia="黑体" w:cs="楷体"/>
          <w:b w:val="0"/>
          <w:sz w:val="32"/>
          <w:szCs w:val="32"/>
          <w:shd w:val="clear" w:color="auto" w:fill="FFFFFF"/>
        </w:rPr>
        <w:t>四、年末结转和结余：</w:t>
      </w:r>
      <w:r>
        <w:rPr>
          <w:rFonts w:ascii="仿宋" w:hAnsi="仿宋" w:eastAsia="仿宋" w:cs="仿宋_GB2312"/>
          <w:color w:val="353535"/>
          <w:sz w:val="32"/>
          <w:szCs w:val="32"/>
        </w:rPr>
        <w:t>指单位按有关规定结转到下年或以后年度继续使用的资金，或项目已完成产生的结余资金。</w:t>
      </w:r>
    </w:p>
    <w:p>
      <w:pPr>
        <w:adjustRightInd w:val="0"/>
        <w:snapToGrid w:val="0"/>
        <w:spacing w:line="560" w:lineRule="exact"/>
        <w:ind w:firstLine="640" w:firstLineChars="200"/>
        <w:rPr>
          <w:rFonts w:ascii="仿宋" w:hAnsi="仿宋" w:eastAsia="仿宋" w:cs="仿宋_GB2312"/>
          <w:color w:val="353535"/>
          <w:sz w:val="32"/>
          <w:szCs w:val="32"/>
        </w:rPr>
      </w:pPr>
      <w:r>
        <w:rPr>
          <w:rStyle w:val="9"/>
          <w:rFonts w:hint="eastAsia" w:ascii="黑体" w:hAnsi="黑体" w:eastAsia="黑体" w:cs="楷体"/>
          <w:b w:val="0"/>
          <w:sz w:val="32"/>
          <w:szCs w:val="32"/>
          <w:shd w:val="clear" w:color="auto" w:fill="FFFFFF"/>
        </w:rPr>
        <w:t>五、公共安全支出（类）检察（款）：</w:t>
      </w:r>
      <w:r>
        <w:rPr>
          <w:rFonts w:ascii="仿宋" w:hAnsi="仿宋" w:eastAsia="仿宋" w:cs="仿宋_GB2312"/>
          <w:color w:val="353535"/>
          <w:sz w:val="32"/>
          <w:szCs w:val="32"/>
        </w:rPr>
        <w:t>指检察机关用于保障机构正常运行、开展检察业务工作的支出。</w:t>
      </w:r>
    </w:p>
    <w:p>
      <w:pPr>
        <w:adjustRightInd w:val="0"/>
        <w:snapToGrid w:val="0"/>
        <w:spacing w:line="560" w:lineRule="exact"/>
        <w:ind w:firstLine="640" w:firstLineChars="200"/>
        <w:rPr>
          <w:rFonts w:ascii="仿宋" w:hAnsi="仿宋" w:eastAsia="仿宋" w:cs="仿宋_GB2312"/>
          <w:color w:val="353535"/>
          <w:sz w:val="32"/>
          <w:szCs w:val="32"/>
        </w:rPr>
      </w:pPr>
      <w:r>
        <w:rPr>
          <w:rStyle w:val="9"/>
          <w:rFonts w:hint="eastAsia" w:ascii="黑体" w:hAnsi="黑体" w:eastAsia="黑体" w:cs="楷体"/>
          <w:b w:val="0"/>
          <w:sz w:val="32"/>
          <w:szCs w:val="32"/>
          <w:shd w:val="clear" w:color="auto" w:fill="FFFFFF"/>
        </w:rPr>
        <w:t>六、教育支出（类）进修及培训（款）培训支出（项）：</w:t>
      </w:r>
      <w:r>
        <w:rPr>
          <w:rFonts w:ascii="仿宋" w:hAnsi="仿宋" w:eastAsia="仿宋" w:cs="仿宋_GB2312"/>
          <w:color w:val="353535"/>
          <w:sz w:val="32"/>
          <w:szCs w:val="32"/>
        </w:rPr>
        <w:t>指单位用于干警教育培训的支出。</w:t>
      </w:r>
    </w:p>
    <w:p>
      <w:pPr>
        <w:adjustRightInd w:val="0"/>
        <w:snapToGrid w:val="0"/>
        <w:spacing w:line="560" w:lineRule="exact"/>
        <w:ind w:firstLine="640" w:firstLineChars="200"/>
        <w:rPr>
          <w:rFonts w:ascii="仿宋" w:hAnsi="仿宋" w:eastAsia="仿宋" w:cs="仿宋_GB2312"/>
          <w:color w:val="353535"/>
          <w:sz w:val="32"/>
          <w:szCs w:val="32"/>
        </w:rPr>
      </w:pPr>
      <w:r>
        <w:rPr>
          <w:rStyle w:val="9"/>
          <w:rFonts w:hint="eastAsia" w:ascii="黑体" w:hAnsi="黑体" w:eastAsia="黑体" w:cs="楷体"/>
          <w:b w:val="0"/>
          <w:sz w:val="32"/>
          <w:szCs w:val="32"/>
          <w:shd w:val="clear" w:color="auto" w:fill="FFFFFF"/>
        </w:rPr>
        <w:t>七、社会保障和就业支出（类）行政事业单位离退休（款）未归口管理的行政单位离退休（项）：</w:t>
      </w:r>
      <w:r>
        <w:rPr>
          <w:rFonts w:ascii="仿宋" w:hAnsi="仿宋" w:eastAsia="仿宋" w:cs="仿宋_GB2312"/>
          <w:color w:val="353535"/>
          <w:sz w:val="32"/>
          <w:szCs w:val="32"/>
        </w:rPr>
        <w:t>指单位用于未归口社保的离退休人员的工资性支出。</w:t>
      </w:r>
    </w:p>
    <w:p>
      <w:pPr>
        <w:adjustRightInd w:val="0"/>
        <w:snapToGrid w:val="0"/>
        <w:spacing w:line="560" w:lineRule="exact"/>
        <w:ind w:firstLine="640" w:firstLineChars="200"/>
        <w:rPr>
          <w:rFonts w:ascii="仿宋" w:hAnsi="仿宋" w:eastAsia="仿宋" w:cs="仿宋_GB2312"/>
          <w:color w:val="353535"/>
          <w:sz w:val="32"/>
          <w:szCs w:val="32"/>
        </w:rPr>
      </w:pPr>
      <w:r>
        <w:rPr>
          <w:rStyle w:val="9"/>
          <w:rFonts w:hint="eastAsia" w:ascii="黑体" w:hAnsi="黑体" w:eastAsia="黑体" w:cs="楷体"/>
          <w:b w:val="0"/>
          <w:sz w:val="32"/>
          <w:szCs w:val="32"/>
          <w:shd w:val="clear" w:color="auto" w:fill="FFFFFF"/>
        </w:rPr>
        <w:t>八、住房保障支出（类）住房改革支出（款）：</w:t>
      </w:r>
      <w:r>
        <w:rPr>
          <w:rFonts w:ascii="仿宋" w:hAnsi="仿宋" w:eastAsia="仿宋" w:cs="仿宋_GB2312"/>
          <w:color w:val="353535"/>
          <w:sz w:val="32"/>
          <w:szCs w:val="32"/>
        </w:rPr>
        <w:t>指单位按照国家政策规定用于住房改革方面的支出。</w:t>
      </w:r>
    </w:p>
    <w:p>
      <w:pPr>
        <w:adjustRightInd w:val="0"/>
        <w:snapToGrid w:val="0"/>
        <w:spacing w:line="560" w:lineRule="exact"/>
        <w:ind w:firstLine="640" w:firstLineChars="200"/>
        <w:rPr>
          <w:rFonts w:ascii="仿宋" w:hAnsi="仿宋" w:eastAsia="仿宋" w:cs="仿宋_GB2312"/>
          <w:color w:val="353535"/>
          <w:sz w:val="32"/>
          <w:szCs w:val="32"/>
        </w:rPr>
      </w:pPr>
      <w:r>
        <w:rPr>
          <w:rStyle w:val="9"/>
          <w:rFonts w:hint="eastAsia" w:ascii="黑体" w:hAnsi="黑体" w:eastAsia="黑体" w:cs="楷体"/>
          <w:b w:val="0"/>
          <w:sz w:val="32"/>
          <w:szCs w:val="32"/>
          <w:shd w:val="clear" w:color="auto" w:fill="FFFFFF"/>
        </w:rPr>
        <w:t>住房公积金（项）</w:t>
      </w:r>
      <w:r>
        <w:rPr>
          <w:rStyle w:val="9"/>
          <w:rFonts w:ascii="黑体" w:hAnsi="黑体" w:eastAsia="黑体" w:cs="楷体"/>
          <w:b w:val="0"/>
          <w:sz w:val="32"/>
          <w:szCs w:val="32"/>
          <w:shd w:val="clear" w:color="auto" w:fill="FFFFFF"/>
        </w:rPr>
        <w:t>：</w:t>
      </w:r>
      <w:r>
        <w:rPr>
          <w:rFonts w:ascii="仿宋" w:hAnsi="仿宋" w:eastAsia="仿宋" w:cs="仿宋_GB2312"/>
          <w:color w:val="353535"/>
          <w:sz w:val="32"/>
          <w:szCs w:val="32"/>
        </w:rPr>
        <w:t>指按照国家统一规定，按规定比例为职工缴纳的住房公积金。</w:t>
      </w:r>
    </w:p>
    <w:p>
      <w:pPr>
        <w:adjustRightInd w:val="0"/>
        <w:snapToGrid w:val="0"/>
        <w:spacing w:line="560" w:lineRule="exact"/>
        <w:ind w:firstLine="640" w:firstLineChars="200"/>
        <w:rPr>
          <w:rFonts w:ascii="仿宋" w:hAnsi="仿宋" w:eastAsia="仿宋" w:cs="仿宋_GB2312"/>
          <w:color w:val="353535"/>
          <w:sz w:val="32"/>
          <w:szCs w:val="32"/>
        </w:rPr>
      </w:pPr>
      <w:r>
        <w:rPr>
          <w:rStyle w:val="9"/>
          <w:rFonts w:hint="eastAsia" w:ascii="黑体" w:hAnsi="黑体" w:eastAsia="黑体" w:cs="楷体"/>
          <w:b w:val="0"/>
          <w:sz w:val="32"/>
          <w:szCs w:val="32"/>
          <w:shd w:val="clear" w:color="auto" w:fill="FFFFFF"/>
        </w:rPr>
        <w:t>九、基本支出：</w:t>
      </w:r>
      <w:r>
        <w:rPr>
          <w:rFonts w:ascii="仿宋" w:hAnsi="仿宋" w:eastAsia="仿宋" w:cs="仿宋_GB2312"/>
          <w:color w:val="353535"/>
          <w:sz w:val="32"/>
          <w:szCs w:val="32"/>
        </w:rPr>
        <w:t>指为保障机构正常运转、完成日常工作任务而发生的人员支出和公用支出。</w:t>
      </w:r>
    </w:p>
    <w:p>
      <w:pPr>
        <w:adjustRightInd w:val="0"/>
        <w:snapToGrid w:val="0"/>
        <w:spacing w:line="560" w:lineRule="exact"/>
        <w:ind w:firstLine="640" w:firstLineChars="200"/>
        <w:rPr>
          <w:rFonts w:ascii="仿宋" w:hAnsi="仿宋" w:eastAsia="仿宋" w:cs="仿宋_GB2312"/>
          <w:color w:val="353535"/>
          <w:sz w:val="32"/>
          <w:szCs w:val="32"/>
        </w:rPr>
      </w:pPr>
      <w:r>
        <w:rPr>
          <w:rStyle w:val="9"/>
          <w:rFonts w:hint="eastAsia" w:ascii="黑体" w:hAnsi="黑体" w:eastAsia="黑体" w:cs="楷体"/>
          <w:b w:val="0"/>
          <w:sz w:val="32"/>
          <w:szCs w:val="32"/>
          <w:shd w:val="clear" w:color="auto" w:fill="FFFFFF"/>
        </w:rPr>
        <w:t>十、项目支出：</w:t>
      </w:r>
      <w:r>
        <w:rPr>
          <w:rFonts w:ascii="仿宋" w:hAnsi="仿宋" w:eastAsia="仿宋" w:cs="仿宋_GB2312"/>
          <w:color w:val="353535"/>
          <w:sz w:val="32"/>
          <w:szCs w:val="32"/>
        </w:rPr>
        <w:t>指在基本支出以外为完成特定任务和事业发展目标所发生的支出。</w:t>
      </w:r>
    </w:p>
    <w:p>
      <w:pPr>
        <w:adjustRightInd w:val="0"/>
        <w:snapToGrid w:val="0"/>
        <w:spacing w:line="560" w:lineRule="exact"/>
        <w:ind w:firstLine="640" w:firstLineChars="200"/>
        <w:rPr>
          <w:rFonts w:ascii="仿宋" w:hAnsi="仿宋" w:eastAsia="仿宋" w:cs="仿宋_GB2312"/>
          <w:color w:val="353535"/>
          <w:sz w:val="32"/>
          <w:szCs w:val="32"/>
        </w:rPr>
      </w:pPr>
      <w:r>
        <w:rPr>
          <w:rStyle w:val="9"/>
          <w:rFonts w:hint="eastAsia" w:ascii="黑体" w:hAnsi="黑体" w:eastAsia="黑体" w:cs="楷体"/>
          <w:b w:val="0"/>
          <w:sz w:val="32"/>
          <w:szCs w:val="32"/>
          <w:shd w:val="clear" w:color="auto" w:fill="FFFFFF"/>
        </w:rPr>
        <w:t>十一、“ 三公” 经费财政拨款支出：</w:t>
      </w:r>
      <w:r>
        <w:rPr>
          <w:rFonts w:ascii="仿宋" w:hAnsi="仿宋" w:eastAsia="仿宋" w:cs="仿宋_GB2312"/>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djustRightInd w:val="0"/>
        <w:snapToGrid w:val="0"/>
        <w:spacing w:line="560" w:lineRule="exact"/>
        <w:ind w:firstLine="640" w:firstLineChars="200"/>
        <w:rPr>
          <w:rFonts w:ascii="仿宋_GB2312" w:hAnsi="Times New Roman" w:eastAsia="仿宋_GB2312" w:cs="仿宋_GB2312"/>
          <w:color w:val="353535"/>
          <w:sz w:val="32"/>
          <w:szCs w:val="32"/>
        </w:rPr>
      </w:pPr>
      <w:r>
        <w:rPr>
          <w:rStyle w:val="9"/>
          <w:rFonts w:hint="eastAsia" w:ascii="黑体" w:hAnsi="黑体" w:eastAsia="黑体" w:cs="楷体"/>
          <w:b w:val="0"/>
          <w:sz w:val="32"/>
          <w:szCs w:val="32"/>
          <w:shd w:val="clear" w:color="auto" w:fill="FFFFFF"/>
        </w:rPr>
        <w:t>十二、机关运行经费</w:t>
      </w:r>
      <w:r>
        <w:rPr>
          <w:rFonts w:hint="eastAsia" w:ascii="黑体" w:hAnsi="黑体" w:eastAsia="黑体" w:cs="黑体"/>
          <w:b/>
          <w:color w:val="353535"/>
          <w:sz w:val="32"/>
          <w:szCs w:val="32"/>
        </w:rPr>
        <w:t>：</w:t>
      </w:r>
      <w:r>
        <w:rPr>
          <w:rFonts w:ascii="仿宋" w:hAnsi="仿宋" w:eastAsia="仿宋" w:cs="仿宋_GB2312"/>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adjustRightInd w:val="0"/>
        <w:snapToGrid w:val="0"/>
        <w:spacing w:line="560" w:lineRule="exact"/>
        <w:ind w:firstLine="640" w:firstLineChars="200"/>
        <w:rPr>
          <w:rFonts w:ascii="仿宋_GB2312" w:hAnsi="Times New Roman" w:eastAsia="仿宋_GB2312" w:cs="仿宋_GB2312"/>
          <w:color w:val="353535"/>
          <w:sz w:val="32"/>
          <w:szCs w:val="32"/>
        </w:rPr>
      </w:pPr>
    </w:p>
    <w:p>
      <w:pPr>
        <w:pStyle w:val="12"/>
        <w:jc w:val="center"/>
        <w:rPr>
          <w:rStyle w:val="9"/>
          <w:rFonts w:hAnsi="黑体"/>
          <w:color w:val="auto"/>
          <w:sz w:val="44"/>
          <w:szCs w:val="44"/>
          <w:shd w:val="clear" w:color="auto" w:fill="FFFFFF"/>
        </w:rPr>
      </w:pPr>
      <w:r>
        <w:rPr>
          <w:rStyle w:val="9"/>
          <w:rFonts w:hint="eastAsia" w:hAnsi="黑体"/>
          <w:color w:val="auto"/>
          <w:sz w:val="44"/>
          <w:szCs w:val="44"/>
          <w:shd w:val="clear" w:color="auto" w:fill="FFFFFF"/>
        </w:rPr>
        <w:t>第五部分  附件</w:t>
      </w:r>
    </w:p>
    <w:p>
      <w:pPr>
        <w:pStyle w:val="12"/>
        <w:jc w:val="center"/>
        <w:rPr>
          <w:rStyle w:val="9"/>
          <w:rFonts w:hAnsi="黑体"/>
          <w:color w:val="auto"/>
          <w:sz w:val="44"/>
          <w:szCs w:val="44"/>
          <w:shd w:val="clear" w:color="auto" w:fill="FFFFFF"/>
        </w:rPr>
      </w:pPr>
    </w:p>
    <w:p>
      <w:pPr>
        <w:pStyle w:val="6"/>
        <w:adjustRightInd w:val="0"/>
        <w:snapToGrid w:val="0"/>
        <w:spacing w:before="0" w:beforeAutospacing="0" w:after="0" w:afterAutospacing="0" w:line="560" w:lineRule="exact"/>
        <w:ind w:firstLine="640" w:firstLineChars="200"/>
        <w:jc w:val="both"/>
        <w:outlineLvl w:val="1"/>
        <w:rPr>
          <w:rStyle w:val="9"/>
          <w:rFonts w:ascii="楷体_GB2312" w:eastAsia="楷体_GB2312" w:cs="楷体"/>
          <w:b w:val="0"/>
          <w:sz w:val="32"/>
          <w:szCs w:val="32"/>
          <w:shd w:val="clear" w:color="auto" w:fill="FFFFFF"/>
        </w:rPr>
      </w:pPr>
      <w:bookmarkStart w:id="15" w:name="_Toc20411"/>
      <w:r>
        <w:rPr>
          <w:rStyle w:val="9"/>
          <w:rFonts w:hint="eastAsia" w:ascii="楷体_GB2312" w:eastAsia="楷体_GB2312" w:cs="楷体"/>
          <w:b w:val="0"/>
          <w:sz w:val="32"/>
          <w:szCs w:val="32"/>
          <w:shd w:val="clear" w:color="auto" w:fill="FFFFFF"/>
        </w:rPr>
        <w:t xml:space="preserve"> 2020年度部门整体支出绩效评价报告</w:t>
      </w:r>
      <w:bookmarkEnd w:id="15"/>
    </w:p>
    <w:p>
      <w:pPr>
        <w:pStyle w:val="6"/>
        <w:adjustRightInd w:val="0"/>
        <w:snapToGrid w:val="0"/>
        <w:spacing w:before="0" w:beforeAutospacing="0" w:after="0" w:afterAutospacing="0" w:line="560" w:lineRule="exact"/>
        <w:ind w:firstLine="640" w:firstLineChars="200"/>
        <w:jc w:val="both"/>
        <w:outlineLvl w:val="1"/>
        <w:rPr>
          <w:rStyle w:val="9"/>
          <w:rFonts w:ascii="楷体_GB2312" w:eastAsia="楷体_GB2312" w:cs="楷体"/>
          <w:b w:val="0"/>
          <w:color w:val="FF0000"/>
          <w:sz w:val="32"/>
          <w:szCs w:val="32"/>
          <w:shd w:val="clear" w:color="auto" w:fill="FFFFFF"/>
        </w:rPr>
      </w:pPr>
      <w:r>
        <w:rPr>
          <w:rStyle w:val="9"/>
          <w:rFonts w:hint="eastAsia" w:ascii="楷体_GB2312" w:eastAsia="楷体_GB2312" w:cs="楷体"/>
          <w:b w:val="0"/>
          <w:color w:val="FF0000"/>
          <w:sz w:val="32"/>
          <w:szCs w:val="32"/>
          <w:shd w:val="clear" w:color="auto" w:fill="FFFFFF"/>
          <w:lang w:val="en-US" w:eastAsia="zh-CN"/>
        </w:rPr>
        <w:t>(</w:t>
      </w:r>
      <w:r>
        <w:rPr>
          <w:rStyle w:val="9"/>
          <w:rFonts w:hint="eastAsia" w:ascii="楷体_GB2312" w:eastAsia="楷体_GB2312" w:cs="楷体"/>
          <w:b w:val="0"/>
          <w:color w:val="FF0000"/>
          <w:sz w:val="32"/>
          <w:szCs w:val="32"/>
          <w:shd w:val="clear" w:color="auto" w:fill="FFFFFF"/>
        </w:rPr>
        <w:t>https://www.hn.jcy.gov.cn/xwfb/czxx/qtczxxgk/202106/1464909166928723968.html）</w:t>
      </w:r>
    </w:p>
    <w:p>
      <w:pPr>
        <w:ind w:firstLine="640" w:firstLineChars="200"/>
        <w:jc w:val="left"/>
        <w:rPr>
          <w:rFonts w:ascii="仿宋" w:hAnsi="仿宋" w:eastAsia="仿宋" w:cs="仿宋_GB2312"/>
          <w:color w:val="353535"/>
          <w:sz w:val="32"/>
          <w:szCs w:val="32"/>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1ZGIyYWFkYWFjYzk0YzM2ZjJjM2ExNTRhODIzYmMifQ=="/>
  </w:docVars>
  <w:rsids>
    <w:rsidRoot w:val="004506F9"/>
    <w:rsid w:val="0002229B"/>
    <w:rsid w:val="000273BD"/>
    <w:rsid w:val="000415B7"/>
    <w:rsid w:val="00041E3F"/>
    <w:rsid w:val="00055DAA"/>
    <w:rsid w:val="00056E70"/>
    <w:rsid w:val="00061F7B"/>
    <w:rsid w:val="000658A3"/>
    <w:rsid w:val="00074155"/>
    <w:rsid w:val="00080353"/>
    <w:rsid w:val="000836B3"/>
    <w:rsid w:val="000A3F69"/>
    <w:rsid w:val="000C2C47"/>
    <w:rsid w:val="000F68CE"/>
    <w:rsid w:val="00101E72"/>
    <w:rsid w:val="00103957"/>
    <w:rsid w:val="00122287"/>
    <w:rsid w:val="001260AA"/>
    <w:rsid w:val="00152C6D"/>
    <w:rsid w:val="001607E2"/>
    <w:rsid w:val="00162D39"/>
    <w:rsid w:val="001678BD"/>
    <w:rsid w:val="00174ADA"/>
    <w:rsid w:val="001A67DB"/>
    <w:rsid w:val="001B6AE2"/>
    <w:rsid w:val="001C3C29"/>
    <w:rsid w:val="001D51E5"/>
    <w:rsid w:val="001E080D"/>
    <w:rsid w:val="001E53D0"/>
    <w:rsid w:val="001F0C3B"/>
    <w:rsid w:val="001F1EFA"/>
    <w:rsid w:val="00202C82"/>
    <w:rsid w:val="00214427"/>
    <w:rsid w:val="00226CB7"/>
    <w:rsid w:val="00230C6F"/>
    <w:rsid w:val="0023166A"/>
    <w:rsid w:val="00244EE4"/>
    <w:rsid w:val="002555CB"/>
    <w:rsid w:val="00261FE4"/>
    <w:rsid w:val="00264552"/>
    <w:rsid w:val="00264EF9"/>
    <w:rsid w:val="00265724"/>
    <w:rsid w:val="0027426B"/>
    <w:rsid w:val="00285B08"/>
    <w:rsid w:val="00291333"/>
    <w:rsid w:val="002B6B26"/>
    <w:rsid w:val="002D3643"/>
    <w:rsid w:val="002D6247"/>
    <w:rsid w:val="002E0A30"/>
    <w:rsid w:val="00310A8D"/>
    <w:rsid w:val="003130C4"/>
    <w:rsid w:val="00315C46"/>
    <w:rsid w:val="00316C4B"/>
    <w:rsid w:val="00320B7B"/>
    <w:rsid w:val="0032192B"/>
    <w:rsid w:val="003479BD"/>
    <w:rsid w:val="00355991"/>
    <w:rsid w:val="00357896"/>
    <w:rsid w:val="00367D98"/>
    <w:rsid w:val="0037197D"/>
    <w:rsid w:val="003768D5"/>
    <w:rsid w:val="00391BE2"/>
    <w:rsid w:val="0039770E"/>
    <w:rsid w:val="003B1CD4"/>
    <w:rsid w:val="003C47E6"/>
    <w:rsid w:val="003C4FC2"/>
    <w:rsid w:val="003D1AC7"/>
    <w:rsid w:val="003E1F74"/>
    <w:rsid w:val="00406321"/>
    <w:rsid w:val="00406E11"/>
    <w:rsid w:val="00416E61"/>
    <w:rsid w:val="00417054"/>
    <w:rsid w:val="0042790C"/>
    <w:rsid w:val="004506F9"/>
    <w:rsid w:val="004546A0"/>
    <w:rsid w:val="004717A2"/>
    <w:rsid w:val="00473DF3"/>
    <w:rsid w:val="0048347E"/>
    <w:rsid w:val="004872DD"/>
    <w:rsid w:val="00487911"/>
    <w:rsid w:val="00491741"/>
    <w:rsid w:val="00493D35"/>
    <w:rsid w:val="004A3EA2"/>
    <w:rsid w:val="004D112E"/>
    <w:rsid w:val="004E3004"/>
    <w:rsid w:val="004F6B30"/>
    <w:rsid w:val="00500E5F"/>
    <w:rsid w:val="00502F45"/>
    <w:rsid w:val="00503FB4"/>
    <w:rsid w:val="005122EF"/>
    <w:rsid w:val="005137BE"/>
    <w:rsid w:val="0051441A"/>
    <w:rsid w:val="00515FA9"/>
    <w:rsid w:val="0051779F"/>
    <w:rsid w:val="00517C33"/>
    <w:rsid w:val="00523644"/>
    <w:rsid w:val="0054069E"/>
    <w:rsid w:val="00544866"/>
    <w:rsid w:val="00562D11"/>
    <w:rsid w:val="005767CC"/>
    <w:rsid w:val="00590D9F"/>
    <w:rsid w:val="00595D26"/>
    <w:rsid w:val="00597E4F"/>
    <w:rsid w:val="005A40B5"/>
    <w:rsid w:val="005A74E6"/>
    <w:rsid w:val="005B2313"/>
    <w:rsid w:val="005B404E"/>
    <w:rsid w:val="005D4D55"/>
    <w:rsid w:val="005E2CFB"/>
    <w:rsid w:val="005F3D1C"/>
    <w:rsid w:val="005F6CE9"/>
    <w:rsid w:val="005F6DF1"/>
    <w:rsid w:val="00601FED"/>
    <w:rsid w:val="0061284A"/>
    <w:rsid w:val="00622D2F"/>
    <w:rsid w:val="0062378F"/>
    <w:rsid w:val="00627CA2"/>
    <w:rsid w:val="00641842"/>
    <w:rsid w:val="00644362"/>
    <w:rsid w:val="00651EEC"/>
    <w:rsid w:val="00663BDB"/>
    <w:rsid w:val="00672187"/>
    <w:rsid w:val="00686673"/>
    <w:rsid w:val="00691E8C"/>
    <w:rsid w:val="006A22C4"/>
    <w:rsid w:val="006A351B"/>
    <w:rsid w:val="006B0422"/>
    <w:rsid w:val="006B0726"/>
    <w:rsid w:val="006B0F3D"/>
    <w:rsid w:val="006B4839"/>
    <w:rsid w:val="006C155E"/>
    <w:rsid w:val="006C1B53"/>
    <w:rsid w:val="006C76B2"/>
    <w:rsid w:val="006D7730"/>
    <w:rsid w:val="006E3458"/>
    <w:rsid w:val="006E5284"/>
    <w:rsid w:val="006F3EB5"/>
    <w:rsid w:val="006F6519"/>
    <w:rsid w:val="00702E34"/>
    <w:rsid w:val="00704395"/>
    <w:rsid w:val="00706CF9"/>
    <w:rsid w:val="00717621"/>
    <w:rsid w:val="00720FF1"/>
    <w:rsid w:val="00727A53"/>
    <w:rsid w:val="00735FF6"/>
    <w:rsid w:val="007365DA"/>
    <w:rsid w:val="0074041B"/>
    <w:rsid w:val="0074183F"/>
    <w:rsid w:val="00745F85"/>
    <w:rsid w:val="00757558"/>
    <w:rsid w:val="0076411B"/>
    <w:rsid w:val="00764BC4"/>
    <w:rsid w:val="00775379"/>
    <w:rsid w:val="007840F7"/>
    <w:rsid w:val="00787B42"/>
    <w:rsid w:val="007B1175"/>
    <w:rsid w:val="007C297D"/>
    <w:rsid w:val="007C4539"/>
    <w:rsid w:val="007D1086"/>
    <w:rsid w:val="007F3657"/>
    <w:rsid w:val="00800550"/>
    <w:rsid w:val="00802A87"/>
    <w:rsid w:val="00810351"/>
    <w:rsid w:val="00812ED5"/>
    <w:rsid w:val="008218DF"/>
    <w:rsid w:val="008250D4"/>
    <w:rsid w:val="00825655"/>
    <w:rsid w:val="008277D9"/>
    <w:rsid w:val="00834888"/>
    <w:rsid w:val="0084195B"/>
    <w:rsid w:val="0084478C"/>
    <w:rsid w:val="0086638C"/>
    <w:rsid w:val="00880B8F"/>
    <w:rsid w:val="008A3E8D"/>
    <w:rsid w:val="008B45AB"/>
    <w:rsid w:val="008D4B38"/>
    <w:rsid w:val="008E2FB8"/>
    <w:rsid w:val="008F5D17"/>
    <w:rsid w:val="00904229"/>
    <w:rsid w:val="009237C4"/>
    <w:rsid w:val="00931A03"/>
    <w:rsid w:val="00936965"/>
    <w:rsid w:val="00944C48"/>
    <w:rsid w:val="00950252"/>
    <w:rsid w:val="009559F6"/>
    <w:rsid w:val="00967F5D"/>
    <w:rsid w:val="0098408B"/>
    <w:rsid w:val="00990C10"/>
    <w:rsid w:val="009A0F95"/>
    <w:rsid w:val="009B01C1"/>
    <w:rsid w:val="009B3ADF"/>
    <w:rsid w:val="009B66D2"/>
    <w:rsid w:val="009B688B"/>
    <w:rsid w:val="009C3B52"/>
    <w:rsid w:val="009E6817"/>
    <w:rsid w:val="009E6E9A"/>
    <w:rsid w:val="00A01D2B"/>
    <w:rsid w:val="00A13624"/>
    <w:rsid w:val="00A41FD4"/>
    <w:rsid w:val="00A42218"/>
    <w:rsid w:val="00A45E3D"/>
    <w:rsid w:val="00A47909"/>
    <w:rsid w:val="00A70249"/>
    <w:rsid w:val="00A70B02"/>
    <w:rsid w:val="00A71D9F"/>
    <w:rsid w:val="00A76CF5"/>
    <w:rsid w:val="00A92E9F"/>
    <w:rsid w:val="00AC5B3E"/>
    <w:rsid w:val="00AD7CB0"/>
    <w:rsid w:val="00AF21B4"/>
    <w:rsid w:val="00B156E4"/>
    <w:rsid w:val="00B2617F"/>
    <w:rsid w:val="00B2716D"/>
    <w:rsid w:val="00B33BEA"/>
    <w:rsid w:val="00B57C9F"/>
    <w:rsid w:val="00B62F5F"/>
    <w:rsid w:val="00B63572"/>
    <w:rsid w:val="00B74B8E"/>
    <w:rsid w:val="00B845B3"/>
    <w:rsid w:val="00B85D8B"/>
    <w:rsid w:val="00B96942"/>
    <w:rsid w:val="00B96C07"/>
    <w:rsid w:val="00BA1B46"/>
    <w:rsid w:val="00BA74FF"/>
    <w:rsid w:val="00BB4A40"/>
    <w:rsid w:val="00BB4CD6"/>
    <w:rsid w:val="00BD6C3E"/>
    <w:rsid w:val="00BE3674"/>
    <w:rsid w:val="00BF5991"/>
    <w:rsid w:val="00C06279"/>
    <w:rsid w:val="00C07412"/>
    <w:rsid w:val="00C10681"/>
    <w:rsid w:val="00C3049A"/>
    <w:rsid w:val="00C31B1E"/>
    <w:rsid w:val="00C51AB8"/>
    <w:rsid w:val="00C669C7"/>
    <w:rsid w:val="00C75F76"/>
    <w:rsid w:val="00C77645"/>
    <w:rsid w:val="00C82372"/>
    <w:rsid w:val="00CA2005"/>
    <w:rsid w:val="00CD582F"/>
    <w:rsid w:val="00CD7571"/>
    <w:rsid w:val="00CD7931"/>
    <w:rsid w:val="00CE04C3"/>
    <w:rsid w:val="00CE4ABD"/>
    <w:rsid w:val="00CE76A0"/>
    <w:rsid w:val="00D04274"/>
    <w:rsid w:val="00D10DEE"/>
    <w:rsid w:val="00D148C6"/>
    <w:rsid w:val="00D17A8A"/>
    <w:rsid w:val="00D3400F"/>
    <w:rsid w:val="00D415BA"/>
    <w:rsid w:val="00D57BBF"/>
    <w:rsid w:val="00D644EE"/>
    <w:rsid w:val="00D71FA4"/>
    <w:rsid w:val="00D77C7A"/>
    <w:rsid w:val="00D918D0"/>
    <w:rsid w:val="00DB00C7"/>
    <w:rsid w:val="00DB4A29"/>
    <w:rsid w:val="00DD06FF"/>
    <w:rsid w:val="00DD5FE9"/>
    <w:rsid w:val="00DF0581"/>
    <w:rsid w:val="00DF4488"/>
    <w:rsid w:val="00E00C7A"/>
    <w:rsid w:val="00E00FE7"/>
    <w:rsid w:val="00E23CD2"/>
    <w:rsid w:val="00E37A75"/>
    <w:rsid w:val="00E37D6C"/>
    <w:rsid w:val="00E53D1F"/>
    <w:rsid w:val="00E55B68"/>
    <w:rsid w:val="00E67BE6"/>
    <w:rsid w:val="00E7685F"/>
    <w:rsid w:val="00E85153"/>
    <w:rsid w:val="00E85DC9"/>
    <w:rsid w:val="00E8683C"/>
    <w:rsid w:val="00E96AAF"/>
    <w:rsid w:val="00EA2B72"/>
    <w:rsid w:val="00EB5CF0"/>
    <w:rsid w:val="00ED7C09"/>
    <w:rsid w:val="00EE74A5"/>
    <w:rsid w:val="00EF2B72"/>
    <w:rsid w:val="00F213FE"/>
    <w:rsid w:val="00F74360"/>
    <w:rsid w:val="00FA7223"/>
    <w:rsid w:val="00FB462F"/>
    <w:rsid w:val="00FC5069"/>
    <w:rsid w:val="00FD25B3"/>
    <w:rsid w:val="00FE16FA"/>
    <w:rsid w:val="00FE328A"/>
    <w:rsid w:val="00FE6269"/>
    <w:rsid w:val="00FF5CD6"/>
    <w:rsid w:val="00FF7507"/>
    <w:rsid w:val="068824EB"/>
    <w:rsid w:val="2AF068DF"/>
    <w:rsid w:val="36C775BA"/>
    <w:rsid w:val="3C64639B"/>
    <w:rsid w:val="47756BDB"/>
    <w:rsid w:val="52127386"/>
    <w:rsid w:val="5A865B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9">
    <w:name w:val="Strong"/>
    <w:basedOn w:val="8"/>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paragraph" w:customStyle="1" w:styleId="12">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uiPriority w:val="99"/>
    <w:rPr>
      <w:sz w:val="18"/>
      <w:szCs w:val="18"/>
    </w:rPr>
  </w:style>
  <w:style w:type="character" w:customStyle="1" w:styleId="15">
    <w:name w:val="标题 1 Char"/>
    <w:basedOn w:val="8"/>
    <w:link w:val="2"/>
    <w:uiPriority w:val="0"/>
    <w:rPr>
      <w:rFonts w:ascii="宋体" w:hAnsi="宋体" w:eastAsia="宋体" w:cs="Times New Roman"/>
      <w:b/>
      <w:bCs/>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F1BA1-6E58-4CAE-AADC-DECE9BD535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8411</Words>
  <Characters>10462</Characters>
  <Lines>100</Lines>
  <Paragraphs>28</Paragraphs>
  <TotalTime>12</TotalTime>
  <ScaleCrop>false</ScaleCrop>
  <LinksUpToDate>false</LinksUpToDate>
  <CharactersWithSpaces>12113</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2021-09-09T09:43:00Z</dcterms:created>
  <dc:creator>李航 null</dc:creator>
  <cp:lastModifiedBy>Administrator</cp:lastModifiedBy>
  <cp:lastPrinted>2021-08-05T08:54:00Z</cp:lastPrinted>
  <dcterms:modified xsi:type="dcterms:W3CDTF">2022-09-23T13:05:33Z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48266A3435C341FD934A894A1002E243</vt:lpwstr>
  </property>
</Properties>
</file>