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2AC761">
      <w:pPr>
        <w:widowControl/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23746AF5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bookmarkStart w:id="7" w:name="_GoBack"/>
      <w:r>
        <w:rPr>
          <w:rFonts w:eastAsia="方正小标宋_GBK"/>
          <w:bCs/>
          <w:kern w:val="0"/>
          <w:sz w:val="44"/>
          <w:szCs w:val="44"/>
        </w:rPr>
        <w:t>20</w:t>
      </w:r>
      <w:r>
        <w:rPr>
          <w:rFonts w:hint="eastAsia" w:eastAsia="方正小标宋_GBK"/>
          <w:bCs/>
          <w:kern w:val="0"/>
          <w:sz w:val="44"/>
          <w:szCs w:val="44"/>
        </w:rPr>
        <w:t>21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hint="eastAsia" w:ascii="方正小标宋_GBK" w:eastAsia="方正小标宋_GBK"/>
          <w:bCs/>
          <w:kern w:val="0"/>
          <w:sz w:val="44"/>
          <w:szCs w:val="44"/>
        </w:rPr>
        <w:t>邵阳市大祥区人民检察院</w:t>
      </w:r>
      <w:r>
        <w:rPr>
          <w:rFonts w:hint="eastAsia" w:eastAsia="方正小标宋_GBK"/>
          <w:bCs/>
          <w:kern w:val="0"/>
          <w:sz w:val="44"/>
          <w:szCs w:val="44"/>
        </w:rPr>
        <w:t>单位</w:t>
      </w:r>
      <w:r>
        <w:rPr>
          <w:rFonts w:eastAsia="方正小标宋_GBK"/>
          <w:bCs/>
          <w:kern w:val="0"/>
          <w:sz w:val="44"/>
          <w:szCs w:val="44"/>
        </w:rPr>
        <w:t>预算</w:t>
      </w:r>
    </w:p>
    <w:bookmarkEnd w:id="7"/>
    <w:p w14:paraId="28BAC93E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p w14:paraId="71E9D5A6">
      <w:pPr>
        <w:widowControl/>
        <w:spacing w:line="600" w:lineRule="exact"/>
        <w:jc w:val="center"/>
        <w:rPr>
          <w:rFonts w:hint="eastAsia"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目 录</w:t>
      </w:r>
    </w:p>
    <w:p w14:paraId="6907B492">
      <w:pPr>
        <w:widowControl/>
        <w:spacing w:line="600" w:lineRule="exact"/>
        <w:jc w:val="left"/>
        <w:rPr>
          <w:rFonts w:hint="eastAsia" w:eastAsia="黑体"/>
          <w:bCs/>
          <w:kern w:val="0"/>
          <w:sz w:val="32"/>
          <w:szCs w:val="32"/>
        </w:rPr>
      </w:pPr>
    </w:p>
    <w:p w14:paraId="77763401">
      <w:pPr>
        <w:widowControl/>
        <w:spacing w:line="600" w:lineRule="exact"/>
        <w:ind w:firstLine="643" w:firstLineChars="200"/>
        <w:rPr>
          <w:rFonts w:hint="eastAsia" w:ascii="方正小标宋_GBK"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ascii="方正小标宋_GBK" w:eastAsia="方正小标宋_GBK"/>
          <w:bCs/>
          <w:kern w:val="0"/>
          <w:sz w:val="32"/>
          <w:szCs w:val="32"/>
        </w:rPr>
        <w:t>2</w:t>
      </w:r>
      <w:r>
        <w:rPr>
          <w:rFonts w:hint="eastAsia" w:eastAsia="仿宋_GB2312"/>
          <w:b/>
          <w:bCs/>
          <w:kern w:val="0"/>
          <w:sz w:val="32"/>
          <w:szCs w:val="32"/>
        </w:rPr>
        <w:t>021年单位预算说明</w:t>
      </w:r>
    </w:p>
    <w:p w14:paraId="68E25D01"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eastAsia="仿宋_GB2312"/>
          <w:b/>
          <w:bCs/>
          <w:kern w:val="0"/>
          <w:sz w:val="32"/>
          <w:szCs w:val="32"/>
        </w:rPr>
        <w:t>2021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hint="eastAsia" w:eastAsia="仿宋_GB2312"/>
          <w:b/>
          <w:bCs/>
          <w:kern w:val="0"/>
          <w:sz w:val="32"/>
          <w:szCs w:val="32"/>
        </w:rPr>
        <w:t>单位</w:t>
      </w:r>
      <w:r>
        <w:rPr>
          <w:rFonts w:eastAsia="仿宋_GB2312"/>
          <w:b/>
          <w:bCs/>
          <w:kern w:val="0"/>
          <w:sz w:val="32"/>
          <w:szCs w:val="32"/>
        </w:rPr>
        <w:t>预算表</w:t>
      </w:r>
    </w:p>
    <w:p w14:paraId="5FC486DC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 w14:paraId="0E94F450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 w14:paraId="14AEDBFD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 w14:paraId="72276C37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</w:t>
      </w:r>
      <w:r>
        <w:rPr>
          <w:rFonts w:hint="eastAsia" w:eastAsia="仿宋_GB2312"/>
          <w:sz w:val="32"/>
          <w:szCs w:val="32"/>
        </w:rPr>
        <w:t>支出预算分类汇总表</w:t>
      </w:r>
      <w:r>
        <w:rPr>
          <w:rFonts w:eastAsia="仿宋_GB2312"/>
          <w:sz w:val="32"/>
          <w:szCs w:val="32"/>
        </w:rPr>
        <w:t>（按</w:t>
      </w:r>
      <w:r>
        <w:rPr>
          <w:rFonts w:hint="eastAsia" w:eastAsia="仿宋_GB2312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 w14:paraId="3DF2D620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</w:t>
      </w:r>
      <w:r>
        <w:rPr>
          <w:rFonts w:hint="eastAsia" w:eastAsia="仿宋_GB2312"/>
          <w:sz w:val="32"/>
          <w:szCs w:val="32"/>
        </w:rPr>
        <w:t>预算分类汇总</w:t>
      </w:r>
      <w:r>
        <w:rPr>
          <w:rFonts w:eastAsia="仿宋_GB2312"/>
          <w:sz w:val="32"/>
          <w:szCs w:val="32"/>
        </w:rPr>
        <w:t>表（按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 w14:paraId="78A36F50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</w:t>
      </w:r>
      <w:r>
        <w:rPr>
          <w:rFonts w:hint="eastAsia" w:eastAsia="仿宋_GB2312"/>
          <w:sz w:val="32"/>
          <w:szCs w:val="32"/>
        </w:rPr>
        <w:t>财政拨款收支总表</w:t>
      </w:r>
    </w:p>
    <w:p w14:paraId="0EF40A05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</w:t>
      </w:r>
      <w:r>
        <w:rPr>
          <w:rFonts w:hint="eastAsia" w:eastAsia="仿宋_GB2312"/>
          <w:sz w:val="32"/>
          <w:szCs w:val="32"/>
        </w:rPr>
        <w:t>一般公共预算支出表</w:t>
      </w:r>
    </w:p>
    <w:p w14:paraId="35249412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</w:t>
      </w:r>
      <w:r>
        <w:rPr>
          <w:rFonts w:hint="eastAsia" w:eastAsia="仿宋_GB2312"/>
          <w:sz w:val="32"/>
          <w:szCs w:val="32"/>
        </w:rPr>
        <w:t>一般公共预算基本支出表-人员经费（工资福利支出）（按政府预算经济分类）</w:t>
      </w:r>
    </w:p>
    <w:p w14:paraId="04B1D3F7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9、一般公共预算基本支出表-人员经费（工资福利支出）（按部门预算经济分类）</w:t>
      </w:r>
    </w:p>
    <w:p w14:paraId="02582B8C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10、一般公共预算基本支出表-人员经费（对个人和家庭的补助）（按政府预算经济分类）</w:t>
      </w:r>
    </w:p>
    <w:p w14:paraId="62C91E91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11、一般公共预算基本支出表-人员经费（对个人和家庭的补助）（按部门预算经济分类）</w:t>
      </w:r>
    </w:p>
    <w:p w14:paraId="3D6D0866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 w14:paraId="747ADAA0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12、一般公共预算基本支出表-公用经费（</w:t>
      </w:r>
      <w:r>
        <w:rPr>
          <w:rFonts w:eastAsia="仿宋_GB2312"/>
          <w:sz w:val="32"/>
          <w:szCs w:val="32"/>
        </w:rPr>
        <w:t>商品和服务支出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（按</w:t>
      </w:r>
      <w:r>
        <w:rPr>
          <w:rFonts w:hint="eastAsia" w:eastAsia="仿宋_GB2312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 w14:paraId="275DB092"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一般公共预算基本支出表-公用经费（</w:t>
      </w:r>
      <w:r>
        <w:rPr>
          <w:rFonts w:eastAsia="仿宋_GB2312"/>
          <w:sz w:val="32"/>
          <w:szCs w:val="32"/>
        </w:rPr>
        <w:t>商品和服务支出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（按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 w14:paraId="73E2D870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14、一般公共预算“三公”经费支出表</w:t>
      </w:r>
    </w:p>
    <w:p w14:paraId="55CFE4E0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15、政府性基金预算支出表</w:t>
      </w:r>
    </w:p>
    <w:p w14:paraId="7B6701AA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16、政府性基金预算支出分类汇总表（按政府预算经济分类）</w:t>
      </w:r>
    </w:p>
    <w:p w14:paraId="6079402F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17、政府性基金预算支出分类汇总表（按部门预算经济分类）</w:t>
      </w:r>
    </w:p>
    <w:p w14:paraId="152925B7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18、国有资本经营预算支出表</w:t>
      </w:r>
    </w:p>
    <w:p w14:paraId="4674584B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19、财政专户管理资金预算支出表</w:t>
      </w:r>
    </w:p>
    <w:p w14:paraId="06374AF3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20、省级专项资金预算汇总表</w:t>
      </w:r>
    </w:p>
    <w:p w14:paraId="035B8B30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21、省级专项资金绩效目标表</w:t>
      </w:r>
    </w:p>
    <w:p w14:paraId="36CE6FF0"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22、其他项目支出绩效目标表</w:t>
      </w:r>
    </w:p>
    <w:p w14:paraId="7B84B86C">
      <w:pPr>
        <w:widowControl/>
        <w:spacing w:line="600" w:lineRule="exact"/>
        <w:ind w:firstLine="640" w:firstLineChars="200"/>
        <w:jc w:val="left"/>
        <w:rPr>
          <w:b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23、部门整体支出绩效目标表</w:t>
      </w:r>
    </w:p>
    <w:p w14:paraId="036CE2C6">
      <w:pPr>
        <w:rPr>
          <w:b/>
        </w:rPr>
      </w:pPr>
    </w:p>
    <w:p w14:paraId="010C7588">
      <w:pPr>
        <w:widowControl/>
        <w:spacing w:line="600" w:lineRule="exact"/>
        <w:jc w:val="center"/>
        <w:outlineLvl w:val="0"/>
        <w:rPr>
          <w:b/>
          <w:bCs/>
          <w:kern w:val="0"/>
          <w:sz w:val="44"/>
          <w:szCs w:val="44"/>
        </w:rPr>
      </w:pPr>
      <w:bookmarkStart w:id="0" w:name="_Toc20263"/>
      <w:r>
        <w:rPr>
          <w:rFonts w:hint="eastAsia" w:ascii="宋体" w:hAnsi="宋体"/>
          <w:b/>
          <w:sz w:val="44"/>
          <w:szCs w:val="44"/>
        </w:rPr>
        <w:t xml:space="preserve">第一部分 </w:t>
      </w:r>
      <w:r>
        <w:rPr>
          <w:rFonts w:hint="eastAsia"/>
          <w:b/>
          <w:bCs/>
          <w:kern w:val="0"/>
          <w:sz w:val="44"/>
          <w:szCs w:val="44"/>
        </w:rPr>
        <w:t>2021</w:t>
      </w:r>
      <w:r>
        <w:rPr>
          <w:b/>
          <w:bCs/>
          <w:kern w:val="0"/>
          <w:sz w:val="44"/>
          <w:szCs w:val="44"/>
        </w:rPr>
        <w:t>年</w:t>
      </w:r>
      <w:r>
        <w:rPr>
          <w:rFonts w:hint="eastAsia"/>
          <w:b/>
          <w:bCs/>
          <w:kern w:val="0"/>
          <w:sz w:val="44"/>
          <w:szCs w:val="44"/>
        </w:rPr>
        <w:t>单位</w:t>
      </w:r>
      <w:r>
        <w:rPr>
          <w:b/>
          <w:bCs/>
          <w:kern w:val="0"/>
          <w:sz w:val="44"/>
          <w:szCs w:val="44"/>
        </w:rPr>
        <w:t>预算说明</w:t>
      </w:r>
      <w:bookmarkEnd w:id="0"/>
    </w:p>
    <w:p w14:paraId="0A42404D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14:paraId="1A3FEEE7">
      <w:pPr>
        <w:widowControl/>
        <w:spacing w:line="600" w:lineRule="exact"/>
        <w:ind w:firstLine="627" w:firstLineChars="196"/>
        <w:jc w:val="left"/>
        <w:outlineLvl w:val="1"/>
        <w:rPr>
          <w:rFonts w:eastAsia="黑体"/>
          <w:bCs/>
          <w:kern w:val="0"/>
          <w:sz w:val="32"/>
          <w:szCs w:val="32"/>
        </w:rPr>
      </w:pPr>
      <w:bookmarkStart w:id="1" w:name="_Toc32627"/>
      <w:r>
        <w:rPr>
          <w:rFonts w:eastAsia="黑体"/>
          <w:bCs/>
          <w:kern w:val="0"/>
          <w:sz w:val="32"/>
          <w:szCs w:val="32"/>
        </w:rPr>
        <w:t>一、</w:t>
      </w:r>
      <w:r>
        <w:rPr>
          <w:rFonts w:hint="eastAsia" w:eastAsia="黑体"/>
          <w:bCs/>
          <w:kern w:val="0"/>
          <w:sz w:val="32"/>
          <w:szCs w:val="32"/>
        </w:rPr>
        <w:t>单位</w:t>
      </w:r>
      <w:r>
        <w:rPr>
          <w:rFonts w:eastAsia="黑体"/>
          <w:bCs/>
          <w:kern w:val="0"/>
          <w:sz w:val="32"/>
          <w:szCs w:val="32"/>
        </w:rPr>
        <w:t>基本概况</w:t>
      </w:r>
      <w:bookmarkEnd w:id="1"/>
    </w:p>
    <w:p w14:paraId="26E50833">
      <w:pPr>
        <w:ind w:firstLine="630" w:firstLineChars="196"/>
        <w:outlineLvl w:val="2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（一）职能职责</w:t>
      </w:r>
    </w:p>
    <w:p w14:paraId="06F7AFC9">
      <w:pPr>
        <w:ind w:firstLine="640" w:firstLineChars="200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邵阳市大祥区人民检察院是国家的法律监督机关，接受上级人民检察院的领导，对区人民代表大会及其常务委员会负责并报告工作。其主要职责是：</w:t>
      </w:r>
    </w:p>
    <w:p w14:paraId="4B7D168E">
      <w:pPr>
        <w:numPr>
          <w:ilvl w:val="0"/>
          <w:numId w:val="1"/>
        </w:numPr>
        <w:ind w:firstLine="640" w:firstLineChars="200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深入贯彻习近平新时代中国特色社会主义思想，深入贯彻党的路线方针政政策和决策部署，坚持党对检察工作的绝对领导，坚决维护习近平总书记的核心地位，坚决维护党中央权威和集中统一领导，</w:t>
      </w:r>
    </w:p>
    <w:p w14:paraId="239E4E45">
      <w:pPr>
        <w:numPr>
          <w:ilvl w:val="0"/>
          <w:numId w:val="1"/>
        </w:numPr>
        <w:ind w:firstLine="640" w:firstLineChars="200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贯彻落实上级人民检察院的各项工作部署，研究制定检察工作规划，部署检察工作任务。</w:t>
      </w:r>
    </w:p>
    <w:p w14:paraId="3527ABB7">
      <w:pPr>
        <w:numPr>
          <w:ilvl w:val="0"/>
          <w:numId w:val="1"/>
        </w:numPr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依照法律规定对由区人民检察院直接受理的刑事案件行使侦查权。</w:t>
      </w:r>
    </w:p>
    <w:p w14:paraId="2BF5EA00">
      <w:pPr>
        <w:numPr>
          <w:ilvl w:val="0"/>
          <w:numId w:val="1"/>
        </w:numPr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对刑事案件依法审查批准逮捕、决定逮捕、提起公诉。</w:t>
      </w:r>
    </w:p>
    <w:p w14:paraId="1DD89B5E">
      <w:pPr>
        <w:numPr>
          <w:ilvl w:val="0"/>
          <w:numId w:val="1"/>
        </w:numPr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负责应由区人民检察院承办的刑事、民事、行政诉讼活动及刑事、民事、行政判决和裁定等生效法律文书执行的法律监督工作。</w:t>
      </w:r>
    </w:p>
    <w:p w14:paraId="4FC4E28B">
      <w:pPr>
        <w:numPr>
          <w:ilvl w:val="0"/>
          <w:numId w:val="1"/>
        </w:numPr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负责应由区人民检察院承办的提起公益诉讼工作。</w:t>
      </w:r>
    </w:p>
    <w:p w14:paraId="13F5F9D2">
      <w:pPr>
        <w:numPr>
          <w:ilvl w:val="0"/>
          <w:numId w:val="1"/>
        </w:numPr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负责应由区人民检察院承办的对看守所、社区矫正机构等执法活动的法律监督工作。</w:t>
      </w:r>
    </w:p>
    <w:p w14:paraId="528823E7">
      <w:pPr>
        <w:numPr>
          <w:ilvl w:val="0"/>
          <w:numId w:val="1"/>
        </w:numPr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受理向区人民检察院的控告申诉。</w:t>
      </w:r>
    </w:p>
    <w:p w14:paraId="44D44075">
      <w:pPr>
        <w:numPr>
          <w:ilvl w:val="0"/>
          <w:numId w:val="1"/>
        </w:numPr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负责检察机关的理论研究工作。</w:t>
      </w:r>
    </w:p>
    <w:p w14:paraId="06FA861A">
      <w:pPr>
        <w:numPr>
          <w:ilvl w:val="0"/>
          <w:numId w:val="1"/>
        </w:numPr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负责检察机关队伍建设和思想政治工作。</w:t>
      </w:r>
    </w:p>
    <w:p w14:paraId="20120C37">
      <w:pPr>
        <w:numPr>
          <w:ilvl w:val="0"/>
          <w:numId w:val="1"/>
        </w:numPr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负责检务督察工作。</w:t>
      </w:r>
    </w:p>
    <w:p w14:paraId="6610BE2D">
      <w:pPr>
        <w:numPr>
          <w:ilvl w:val="0"/>
          <w:numId w:val="1"/>
        </w:numPr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负责检察机关财务装备和检察技术信息工作。</w:t>
      </w:r>
    </w:p>
    <w:p w14:paraId="50F9CF97">
      <w:pPr>
        <w:numPr>
          <w:ilvl w:val="0"/>
          <w:numId w:val="1"/>
        </w:numPr>
        <w:ind w:firstLine="640" w:firstLineChars="20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负责其他应当由区人民检察院承办的事项。</w:t>
      </w:r>
    </w:p>
    <w:p w14:paraId="1840A7DF">
      <w:pPr>
        <w:widowControl/>
        <w:numPr>
          <w:ilvl w:val="0"/>
          <w:numId w:val="2"/>
        </w:numPr>
        <w:spacing w:line="600" w:lineRule="exact"/>
        <w:ind w:firstLine="630" w:firstLineChars="196"/>
        <w:jc w:val="left"/>
        <w:outlineLvl w:val="2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机构设置</w:t>
      </w:r>
    </w:p>
    <w:p w14:paraId="4AD8CA6D">
      <w:pPr>
        <w:widowControl/>
        <w:spacing w:line="600" w:lineRule="exact"/>
        <w:jc w:val="left"/>
        <w:outlineLvl w:val="2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依据湘编办发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9号文件有关规定，根据上述主要职责，本院设有办公室、第一检察部、第二检察部、第三检察部、政治部（司法警察大队）五个内设机构。邵阳市大祥区人民检察院只有本级，无其他预算单位，因此本预算仅含本级预算。</w:t>
      </w:r>
    </w:p>
    <w:p w14:paraId="7241D356">
      <w:pPr>
        <w:widowControl/>
        <w:spacing w:line="600" w:lineRule="exact"/>
        <w:ind w:firstLine="627" w:firstLineChars="196"/>
        <w:outlineLvl w:val="1"/>
        <w:rPr>
          <w:rFonts w:hint="eastAsia" w:ascii="仿宋_GB2312" w:hAnsi="宋体" w:eastAsia="仿宋_GB2312"/>
          <w:sz w:val="32"/>
          <w:szCs w:val="32"/>
        </w:rPr>
      </w:pPr>
      <w:bookmarkStart w:id="2" w:name="_Toc26426"/>
      <w:r>
        <w:rPr>
          <w:rFonts w:eastAsia="黑体"/>
          <w:kern w:val="0"/>
          <w:sz w:val="32"/>
          <w:szCs w:val="32"/>
        </w:rPr>
        <w:t>二、</w:t>
      </w:r>
      <w:r>
        <w:rPr>
          <w:rFonts w:hint="eastAsia" w:eastAsia="黑体"/>
          <w:bCs/>
          <w:kern w:val="0"/>
          <w:sz w:val="32"/>
          <w:szCs w:val="32"/>
        </w:rPr>
        <w:t>单位</w:t>
      </w:r>
      <w:r>
        <w:rPr>
          <w:rFonts w:eastAsia="黑体"/>
          <w:bCs/>
          <w:kern w:val="0"/>
          <w:sz w:val="32"/>
          <w:szCs w:val="32"/>
        </w:rPr>
        <w:t>收支总体情况</w:t>
      </w:r>
      <w:bookmarkEnd w:id="2"/>
    </w:p>
    <w:p w14:paraId="42F9CDC2">
      <w:pPr>
        <w:ind w:firstLine="640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（一）收入预算：</w:t>
      </w:r>
      <w:r>
        <w:rPr>
          <w:rFonts w:hint="eastAsia" w:ascii="仿宋_GB2312" w:eastAsia="仿宋_GB2312"/>
          <w:sz w:val="32"/>
          <w:szCs w:val="32"/>
        </w:rPr>
        <w:t>包括一般公共预算、中央财政补助和上年结余结转资金。2021年本单位收入预算 1377.95 万元，其中，一般公共预算拨款811.41 万元，中央财政补助291.54    万元，无政府性基金、国有资本经营预算拨款和纳入专户管理的非税收入，上年结余结转275万元。收入较去年增加222.10 万元，主要是因为上年结转结余增加275万元（今年首次纳入预算批复），一般公共预算拨款减少58.90万元，中央财政补助增加6万元。</w:t>
      </w:r>
    </w:p>
    <w:p w14:paraId="13EA080F">
      <w:pPr>
        <w:ind w:firstLine="643" w:firstLineChars="200"/>
        <w:outlineLvl w:val="2"/>
        <w:rPr>
          <w:rFonts w:ascii="宋体" w:hAnsi="宋体" w:cs="宋体"/>
          <w:b/>
          <w:bCs/>
          <w:sz w:val="20"/>
          <w:szCs w:val="20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（二）支出预算：</w:t>
      </w:r>
      <w:r>
        <w:rPr>
          <w:rFonts w:hint="eastAsia" w:ascii="仿宋_GB2312" w:eastAsia="仿宋_GB2312"/>
          <w:sz w:val="32"/>
          <w:szCs w:val="32"/>
        </w:rPr>
        <w:t>2021年本单位支出预算 1377.95万元，其中，公共安全1163.28万元，社会保障和就业支出93.47万元，卫生</w:t>
      </w:r>
      <w:r>
        <w:rPr>
          <w:rFonts w:hint="eastAsia" w:ascii="仿宋_GB2312" w:hAnsi="宋体" w:eastAsia="仿宋_GB2312"/>
          <w:sz w:val="32"/>
          <w:szCs w:val="32"/>
        </w:rPr>
        <w:t>健康支出 44.20万元，住房保障支出 77万元。</w:t>
      </w:r>
      <w:r>
        <w:rPr>
          <w:rFonts w:hint="eastAsia" w:ascii="仿宋_GB2312" w:eastAsia="仿宋_GB2312"/>
          <w:sz w:val="32"/>
          <w:szCs w:val="32"/>
        </w:rPr>
        <w:t>支出较去年增加222.10万元，主要是因为公共安全支出增加205.36万元，教育支出减少了0万元，社会保障和就业支出增加14.47万元，卫生健康支出减少4.73万元，住房保障支出增加7万元。</w:t>
      </w:r>
    </w:p>
    <w:p w14:paraId="1EB25AC2">
      <w:pPr>
        <w:widowControl/>
        <w:spacing w:line="600" w:lineRule="exact"/>
        <w:ind w:firstLine="640" w:firstLineChars="200"/>
        <w:outlineLvl w:val="1"/>
        <w:rPr>
          <w:rFonts w:eastAsia="黑体"/>
          <w:sz w:val="32"/>
          <w:szCs w:val="32"/>
        </w:rPr>
      </w:pPr>
      <w:bookmarkStart w:id="3" w:name="_Toc31507"/>
      <w:r>
        <w:rPr>
          <w:rFonts w:hint="eastAsia"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一般公共预算拨款支出</w:t>
      </w:r>
      <w:bookmarkEnd w:id="3"/>
    </w:p>
    <w:p w14:paraId="4EFF2E00"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2021年本单位一般公共预算拨款支出预算1377.95万元，其中，公共安全支出1163.28万元，占84.42%；社会保障和就业支出93.47万元，占 6.78 %；卫生健康支出 44.2 万元，占3.21 %；住房保障支出77万元，占5.59%。具体安排情况如下：</w:t>
      </w:r>
    </w:p>
    <w:p w14:paraId="12DD143C">
      <w:pPr>
        <w:widowControl/>
        <w:spacing w:line="600" w:lineRule="exact"/>
        <w:ind w:firstLine="660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（一）基本支出：</w:t>
      </w:r>
      <w:r>
        <w:rPr>
          <w:rFonts w:hint="eastAsia" w:ascii="仿宋_GB2312" w:eastAsia="仿宋_GB2312"/>
          <w:sz w:val="32"/>
          <w:szCs w:val="32"/>
        </w:rPr>
        <w:t>2021年本单位基本支出预算数1102.95   万元，主要是为保障单位正常运转、完成日常工作任务而发生的各项支出，包括用于基本工资、津贴补贴等人员经费以及办公费、印刷费、水电费、办公设备购置等公用经费。</w:t>
      </w:r>
    </w:p>
    <w:p w14:paraId="1E285CC0">
      <w:pPr>
        <w:ind w:firstLine="640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（二）项目支出：</w:t>
      </w:r>
      <w:r>
        <w:rPr>
          <w:rFonts w:hint="eastAsia" w:ascii="仿宋_GB2312" w:eastAsia="仿宋_GB2312"/>
          <w:sz w:val="32"/>
          <w:szCs w:val="32"/>
        </w:rPr>
        <w:t>2021年本单位项目支出预算275 万元，主要是</w:t>
      </w:r>
      <w:r>
        <w:rPr>
          <w:rFonts w:hint="eastAsia" w:ascii="仿宋_GB2312" w:hAnsi="宋体" w:eastAsia="仿宋_GB2312"/>
          <w:sz w:val="32"/>
          <w:szCs w:val="32"/>
        </w:rPr>
        <w:t>单位为完成特定行政工作任务或事业发展目标而发生的支出，包括有关事业发展专项、专项业务费、基本建设支出等，其中：业务专项工作支出255.20万元，主要用于防疫、扫黑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除恶</w:t>
      </w:r>
      <w:r>
        <w:rPr>
          <w:rFonts w:hint="eastAsia" w:ascii="仿宋_GB2312" w:hAnsi="宋体" w:eastAsia="仿宋_GB2312"/>
          <w:sz w:val="32"/>
          <w:szCs w:val="32"/>
        </w:rPr>
        <w:t>，机房改造等方面：运行维护专项支出19.8万元，主要用信息网络及软件购置更新等方面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4222666">
      <w:pPr>
        <w:ind w:firstLine="640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4" w:name="_Toc32368"/>
      <w:r>
        <w:rPr>
          <w:rFonts w:hint="eastAsia" w:ascii="黑体" w:hAnsi="黑体" w:eastAsia="黑体" w:cs="黑体"/>
          <w:sz w:val="32"/>
          <w:szCs w:val="32"/>
        </w:rPr>
        <w:t>四、政府性基金预算支出</w:t>
      </w:r>
      <w:bookmarkEnd w:id="4"/>
    </w:p>
    <w:p w14:paraId="0784059E">
      <w:pPr>
        <w:widowControl/>
        <w:spacing w:line="600" w:lineRule="exact"/>
        <w:ind w:firstLine="640" w:firstLineChars="200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2021年本单位无政府性基金安排的支出。</w:t>
      </w:r>
    </w:p>
    <w:p w14:paraId="5590E574">
      <w:pPr>
        <w:widowControl/>
        <w:spacing w:line="600" w:lineRule="exact"/>
        <w:ind w:firstLine="660"/>
        <w:outlineLvl w:val="1"/>
        <w:rPr>
          <w:rFonts w:eastAsia="黑体"/>
          <w:sz w:val="32"/>
          <w:szCs w:val="32"/>
        </w:rPr>
      </w:pPr>
      <w:bookmarkStart w:id="5" w:name="_Toc5712"/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、其他重要事项的情况说明</w:t>
      </w:r>
      <w:bookmarkEnd w:id="5"/>
    </w:p>
    <w:p w14:paraId="3F4331D6">
      <w:pPr>
        <w:widowControl/>
        <w:spacing w:line="600" w:lineRule="exact"/>
        <w:ind w:firstLine="643" w:firstLineChars="200"/>
        <w:outlineLvl w:val="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（一）机关运行经费：</w:t>
      </w:r>
      <w:r>
        <w:rPr>
          <w:rFonts w:hint="eastAsia" w:ascii="仿宋_GB2312" w:eastAsia="仿宋_GB2312"/>
          <w:sz w:val="32"/>
          <w:szCs w:val="32"/>
        </w:rPr>
        <w:t>如考虑中央财政补助，按全口径统计，2021年本单位机关运行经费 403.93万元，比上</w:t>
      </w:r>
      <w:r>
        <w:rPr>
          <w:rFonts w:hint="eastAsia" w:ascii="仿宋_GB2312" w:hAnsi="宋体" w:eastAsia="仿宋_GB2312"/>
          <w:sz w:val="32"/>
          <w:szCs w:val="32"/>
        </w:rPr>
        <w:t>年预算增加20.64</w:t>
      </w:r>
      <w:r>
        <w:rPr>
          <w:rFonts w:hint="eastAsia" w:ascii="仿宋_GB2312" w:eastAsia="仿宋_GB2312"/>
          <w:sz w:val="32"/>
          <w:szCs w:val="32"/>
        </w:rPr>
        <w:t>万元，上升5.38 %，主要是增加了聘用人员社保预算。</w:t>
      </w:r>
    </w:p>
    <w:p w14:paraId="18BDA8A0">
      <w:pPr>
        <w:widowControl/>
        <w:spacing w:line="600" w:lineRule="exact"/>
        <w:ind w:firstLine="643" w:firstLineChars="200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（二）“三公”经费预算：</w:t>
      </w:r>
      <w:r>
        <w:rPr>
          <w:rFonts w:hint="eastAsia" w:ascii="仿宋_GB2312" w:hAnsi="宋体" w:eastAsia="仿宋_GB2312"/>
          <w:sz w:val="32"/>
          <w:szCs w:val="32"/>
        </w:rPr>
        <w:t>如考虑中央财政补助，按全口径统计，2021年本单位“三公”经费预算数为25 万元，</w:t>
      </w:r>
      <w:r>
        <w:rPr>
          <w:rFonts w:hint="eastAsia" w:ascii="仿宋_GB2312" w:eastAsia="仿宋_GB2312"/>
          <w:sz w:val="32"/>
          <w:szCs w:val="32"/>
        </w:rPr>
        <w:t>其中，公务接待费7 万元，公务用车购置及运行费 18 万元（其中，公务用车购置费 0 万元，公务用车运行费18  万元），因公出国（境）费0  万元。 2021年“三公”经费预算较上年减少19.5  万元，主要是减少公务用车购置预算。</w:t>
      </w:r>
    </w:p>
    <w:p w14:paraId="77899A4D">
      <w:pPr>
        <w:ind w:firstLine="643" w:firstLineChars="200"/>
        <w:outlineLvl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（三）一般性支出情况：</w:t>
      </w:r>
      <w:r>
        <w:rPr>
          <w:rFonts w:hint="eastAsia" w:ascii="仿宋_GB2312" w:eastAsia="仿宋_GB2312"/>
          <w:sz w:val="32"/>
          <w:szCs w:val="32"/>
        </w:rPr>
        <w:t>2021年本单位会议费预算 0 万元。培训费预算 0 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2021年本单位未举办节庆、晚会、论坛、赛事等活动。</w:t>
      </w:r>
    </w:p>
    <w:p w14:paraId="4B2E35E2">
      <w:pPr>
        <w:widowControl/>
        <w:spacing w:line="600" w:lineRule="exact"/>
        <w:ind w:firstLine="643" w:firstLineChars="200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（四）政府采购情况：</w:t>
      </w: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hAnsi="宋体" w:eastAsia="仿宋_GB2312"/>
          <w:sz w:val="32"/>
          <w:szCs w:val="32"/>
        </w:rPr>
        <w:t>本单位</w:t>
      </w:r>
      <w:r>
        <w:rPr>
          <w:rFonts w:hint="eastAsia" w:ascii="仿宋_GB2312" w:eastAsia="仿宋_GB2312"/>
          <w:sz w:val="32"/>
          <w:szCs w:val="32"/>
        </w:rPr>
        <w:t>政府采购预算总额58 万元，其中，</w:t>
      </w:r>
      <w:r>
        <w:rPr>
          <w:rFonts w:hint="eastAsia" w:ascii="仿宋_GB2312" w:hAnsi="宋体" w:eastAsia="仿宋_GB2312"/>
          <w:sz w:val="32"/>
          <w:szCs w:val="32"/>
        </w:rPr>
        <w:t>货物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类采购</w:t>
      </w:r>
      <w:r>
        <w:rPr>
          <w:rFonts w:hint="eastAsia" w:ascii="仿宋_GB2312" w:hAnsi="宋体" w:eastAsia="仿宋_GB2312"/>
          <w:sz w:val="32"/>
          <w:szCs w:val="32"/>
        </w:rPr>
        <w:t xml:space="preserve">预算0 </w:t>
      </w:r>
      <w:r>
        <w:rPr>
          <w:rFonts w:hint="eastAsia" w:ascii="仿宋_GB2312" w:eastAsia="仿宋_GB2312"/>
          <w:sz w:val="32"/>
          <w:szCs w:val="32"/>
        </w:rPr>
        <w:t>万元；工程</w:t>
      </w:r>
      <w:r>
        <w:rPr>
          <w:rFonts w:hint="eastAsia" w:ascii="仿宋_GB2312" w:eastAsia="仿宋_GB2312"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</w:rPr>
        <w:t>采购预算 0 万元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服务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类采购</w:t>
      </w:r>
      <w:r>
        <w:rPr>
          <w:rFonts w:hint="eastAsia" w:ascii="仿宋_GB2312" w:hAnsi="宋体" w:eastAsia="仿宋_GB2312"/>
          <w:sz w:val="32"/>
          <w:szCs w:val="32"/>
        </w:rPr>
        <w:t>预算58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43307E4E">
      <w:pPr>
        <w:widowControl/>
        <w:spacing w:line="600" w:lineRule="atLeast"/>
        <w:ind w:firstLine="662" w:firstLineChars="206"/>
        <w:jc w:val="left"/>
        <w:outlineLvl w:val="2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截至2020年12月底，本单位共有公务用车 4 辆，其中执法执勤用车3辆，特种专业技术用车1辆。单位价值50万元以上通用设备 0 台，单位价值100万元以上专用设备0台。2021年拟新增配置公务用车 0 辆，其中机要通信用车0  辆，应急保障用车0  辆，执法执勤用车0辆，特种专业技术用车0辆，其他按照规定配备的公务用车 0辆。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新增配备单价值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50万元以上通用设备0台，单位价值100万元以上专用设备0台。</w:t>
      </w:r>
    </w:p>
    <w:p w14:paraId="0B3AC118">
      <w:pPr>
        <w:widowControl/>
        <w:spacing w:line="600" w:lineRule="atLeast"/>
        <w:ind w:firstLine="662" w:firstLineChars="206"/>
        <w:jc w:val="left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本单位所有支出实行绩效目标管理。纳入2021年单位整体支出绩效目标的金额1102.95  万元，其中，基本支出1102.95万元，项目支出0 万元，具体绩效目标详见报表。</w:t>
      </w:r>
    </w:p>
    <w:p w14:paraId="7F2E0BCE">
      <w:pPr>
        <w:widowControl/>
        <w:spacing w:line="600" w:lineRule="atLeast"/>
        <w:ind w:firstLine="662" w:firstLineChars="206"/>
        <w:jc w:val="left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（七）其他问题说明：</w:t>
      </w:r>
      <w:r>
        <w:rPr>
          <w:rFonts w:hint="eastAsia" w:ascii="仿宋_GB2312" w:eastAsia="仿宋_GB2312"/>
          <w:sz w:val="32"/>
          <w:szCs w:val="32"/>
        </w:rPr>
        <w:t>2021年邵阳市大祥区人民检察院无政府性基金预算支出、国有资本经营预算支出、财政专户管理资金预算支出和省级专项资金预算，所以表15、16、17、18、19、20、21、22无数据。</w:t>
      </w:r>
    </w:p>
    <w:p w14:paraId="1426A28F">
      <w:pPr>
        <w:widowControl/>
        <w:numPr>
          <w:ilvl w:val="0"/>
          <w:numId w:val="3"/>
        </w:numPr>
        <w:spacing w:line="600" w:lineRule="atLeast"/>
        <w:ind w:left="660"/>
        <w:jc w:val="left"/>
        <w:outlineLvl w:val="1"/>
        <w:rPr>
          <w:rFonts w:eastAsia="黑体"/>
          <w:sz w:val="32"/>
          <w:szCs w:val="32"/>
        </w:rPr>
      </w:pPr>
      <w:bookmarkStart w:id="6" w:name="_Toc3254"/>
      <w:r>
        <w:rPr>
          <w:rFonts w:eastAsia="黑体"/>
          <w:sz w:val="32"/>
          <w:szCs w:val="32"/>
        </w:rPr>
        <w:t>名词解释</w:t>
      </w:r>
      <w:bookmarkEnd w:id="6"/>
    </w:p>
    <w:p w14:paraId="1845E525">
      <w:pPr>
        <w:widowControl/>
        <w:spacing w:line="6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7FAB9834">
      <w:pPr>
        <w:widowControl/>
        <w:spacing w:line="600" w:lineRule="exact"/>
        <w:ind w:firstLine="6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p w14:paraId="1C6D1FC4">
      <w:pPr>
        <w:widowControl/>
        <w:spacing w:line="600" w:lineRule="exact"/>
        <w:ind w:firstLine="660"/>
        <w:rPr>
          <w:rFonts w:hint="eastAsia" w:ascii="仿宋_GB2312" w:eastAsia="仿宋_GB2312"/>
          <w:sz w:val="32"/>
          <w:szCs w:val="32"/>
        </w:rPr>
      </w:pPr>
    </w:p>
    <w:p w14:paraId="112D219F">
      <w:pPr>
        <w:widowControl/>
        <w:spacing w:line="600" w:lineRule="exact"/>
        <w:ind w:firstLine="660"/>
        <w:rPr>
          <w:rFonts w:hint="eastAsia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40574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/>
      </w:rPr>
      <w:t>4</w:t>
    </w:r>
    <w:r>
      <w:rPr>
        <w:lang w:val="zh-CN"/>
      </w:rPr>
      <w:fldChar w:fldCharType="end"/>
    </w:r>
  </w:p>
  <w:p w14:paraId="68A29EB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62492"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 w14:paraId="45B3240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5E36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6BABD"/>
    <w:multiLevelType w:val="singleLevel"/>
    <w:tmpl w:val="8D46BAB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A17398A"/>
    <w:multiLevelType w:val="singleLevel"/>
    <w:tmpl w:val="EA17398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AA9B9E"/>
    <w:multiLevelType w:val="singleLevel"/>
    <w:tmpl w:val="74AA9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ZGIyYWFkYWFjYzk0YzM2ZjJjM2ExNTRhODIzYmMifQ=="/>
  </w:docVars>
  <w:rsids>
    <w:rsidRoot w:val="00172A27"/>
    <w:rsid w:val="00245940"/>
    <w:rsid w:val="002958D4"/>
    <w:rsid w:val="003654AB"/>
    <w:rsid w:val="00482534"/>
    <w:rsid w:val="006C018D"/>
    <w:rsid w:val="008B7300"/>
    <w:rsid w:val="00974F1C"/>
    <w:rsid w:val="00B34AC3"/>
    <w:rsid w:val="00C30100"/>
    <w:rsid w:val="00D23998"/>
    <w:rsid w:val="00DE28DD"/>
    <w:rsid w:val="00E52470"/>
    <w:rsid w:val="00F07AA6"/>
    <w:rsid w:val="00F505B5"/>
    <w:rsid w:val="00F55412"/>
    <w:rsid w:val="01872CE0"/>
    <w:rsid w:val="03195788"/>
    <w:rsid w:val="036E5B4F"/>
    <w:rsid w:val="03DE79E8"/>
    <w:rsid w:val="04004C1C"/>
    <w:rsid w:val="05A24484"/>
    <w:rsid w:val="05A5559C"/>
    <w:rsid w:val="068B4503"/>
    <w:rsid w:val="084B35B4"/>
    <w:rsid w:val="09445574"/>
    <w:rsid w:val="0A6B16A9"/>
    <w:rsid w:val="0BBF3EFE"/>
    <w:rsid w:val="0C6B1FA9"/>
    <w:rsid w:val="0F715ECE"/>
    <w:rsid w:val="115B2180"/>
    <w:rsid w:val="143E6D72"/>
    <w:rsid w:val="147A65BA"/>
    <w:rsid w:val="14F90C5B"/>
    <w:rsid w:val="15D41360"/>
    <w:rsid w:val="18BF29CD"/>
    <w:rsid w:val="19B80874"/>
    <w:rsid w:val="19BE56C6"/>
    <w:rsid w:val="1A935EAF"/>
    <w:rsid w:val="1AD97C29"/>
    <w:rsid w:val="1B0845EE"/>
    <w:rsid w:val="1C083AA3"/>
    <w:rsid w:val="1C613C7E"/>
    <w:rsid w:val="1C743A19"/>
    <w:rsid w:val="1D8B751B"/>
    <w:rsid w:val="1F061311"/>
    <w:rsid w:val="1F6B19C0"/>
    <w:rsid w:val="22C223B4"/>
    <w:rsid w:val="23356AAB"/>
    <w:rsid w:val="248D4246"/>
    <w:rsid w:val="24FF2B5A"/>
    <w:rsid w:val="25E628C8"/>
    <w:rsid w:val="26E77D47"/>
    <w:rsid w:val="271D4537"/>
    <w:rsid w:val="27520DF8"/>
    <w:rsid w:val="289533C2"/>
    <w:rsid w:val="28F37C87"/>
    <w:rsid w:val="29FF3EEA"/>
    <w:rsid w:val="2A616EB7"/>
    <w:rsid w:val="2CFA58F7"/>
    <w:rsid w:val="2D3B4D64"/>
    <w:rsid w:val="2E41340E"/>
    <w:rsid w:val="2EE12723"/>
    <w:rsid w:val="2EED57D2"/>
    <w:rsid w:val="302D75C4"/>
    <w:rsid w:val="314A57BE"/>
    <w:rsid w:val="31B537E6"/>
    <w:rsid w:val="32CF230F"/>
    <w:rsid w:val="32FA0641"/>
    <w:rsid w:val="33D92F06"/>
    <w:rsid w:val="3549199F"/>
    <w:rsid w:val="389E4D3E"/>
    <w:rsid w:val="38A9044F"/>
    <w:rsid w:val="38FF2ADB"/>
    <w:rsid w:val="392E6064"/>
    <w:rsid w:val="3D9F0761"/>
    <w:rsid w:val="3EE31532"/>
    <w:rsid w:val="3F6E0C9A"/>
    <w:rsid w:val="3F90177E"/>
    <w:rsid w:val="3FAE1F6B"/>
    <w:rsid w:val="42173DE8"/>
    <w:rsid w:val="435206CE"/>
    <w:rsid w:val="43DA545C"/>
    <w:rsid w:val="43ED3B22"/>
    <w:rsid w:val="44D14273"/>
    <w:rsid w:val="47FE78C7"/>
    <w:rsid w:val="488B3D3D"/>
    <w:rsid w:val="48A87842"/>
    <w:rsid w:val="4934562B"/>
    <w:rsid w:val="4A5C2ABA"/>
    <w:rsid w:val="4AA47A80"/>
    <w:rsid w:val="4B22539B"/>
    <w:rsid w:val="4BAB38AE"/>
    <w:rsid w:val="4BFC37CD"/>
    <w:rsid w:val="4C7A278B"/>
    <w:rsid w:val="4C8224DA"/>
    <w:rsid w:val="4D2D16B8"/>
    <w:rsid w:val="4D3C3C91"/>
    <w:rsid w:val="4F475E29"/>
    <w:rsid w:val="509A7651"/>
    <w:rsid w:val="50ED097F"/>
    <w:rsid w:val="52746B57"/>
    <w:rsid w:val="53D81D4A"/>
    <w:rsid w:val="54B13782"/>
    <w:rsid w:val="54DB7619"/>
    <w:rsid w:val="5754314F"/>
    <w:rsid w:val="59D056BA"/>
    <w:rsid w:val="5AFA3F16"/>
    <w:rsid w:val="5CFB547A"/>
    <w:rsid w:val="5DA40B1F"/>
    <w:rsid w:val="5F990B96"/>
    <w:rsid w:val="621B5236"/>
    <w:rsid w:val="62B2113C"/>
    <w:rsid w:val="64954CB0"/>
    <w:rsid w:val="64E70E0D"/>
    <w:rsid w:val="6721095D"/>
    <w:rsid w:val="68953B66"/>
    <w:rsid w:val="69F85069"/>
    <w:rsid w:val="6B7A0C3E"/>
    <w:rsid w:val="6CAF1F0A"/>
    <w:rsid w:val="6E3A5B88"/>
    <w:rsid w:val="70733F7E"/>
    <w:rsid w:val="726E7AF1"/>
    <w:rsid w:val="729A258A"/>
    <w:rsid w:val="743F05D0"/>
    <w:rsid w:val="746A0077"/>
    <w:rsid w:val="74F13AA4"/>
    <w:rsid w:val="75877E58"/>
    <w:rsid w:val="76354832"/>
    <w:rsid w:val="77E75703"/>
    <w:rsid w:val="783E70C2"/>
    <w:rsid w:val="78861503"/>
    <w:rsid w:val="7B4C4F53"/>
    <w:rsid w:val="7D1A7378"/>
    <w:rsid w:val="7D674F80"/>
    <w:rsid w:val="7D6F0198"/>
    <w:rsid w:val="7DE20E60"/>
    <w:rsid w:val="7DF91CDD"/>
    <w:rsid w:val="7F772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iPriority w:val="0"/>
    <w:rPr>
      <w:sz w:val="18"/>
      <w:szCs w:val="18"/>
    </w:rPr>
  </w:style>
  <w:style w:type="paragraph" w:styleId="3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iPriority w:val="0"/>
  </w:style>
  <w:style w:type="paragraph" w:styleId="6">
    <w:name w:val="toc 2"/>
    <w:basedOn w:val="1"/>
    <w:next w:val="1"/>
    <w:uiPriority w:val="0"/>
    <w:pPr>
      <w:ind w:left="420" w:leftChars="200"/>
    </w:p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555555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555555"/>
      <w:u w:val="none"/>
    </w:rPr>
  </w:style>
  <w:style w:type="character" w:styleId="19">
    <w:name w:val="HTML Code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9"/>
    <w:uiPriority w:val="0"/>
    <w:rPr>
      <w:color w:val="FF0000"/>
      <w:u w:val="single"/>
    </w:rPr>
  </w:style>
  <w:style w:type="character" w:styleId="21">
    <w:name w:val="HTML Keyboard"/>
    <w:basedOn w:val="9"/>
    <w:uiPriority w:val="0"/>
    <w:rPr>
      <w:rFonts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hint="default" w:ascii="monospace" w:hAnsi="monospace" w:eastAsia="monospace" w:cs="monospace"/>
    </w:rPr>
  </w:style>
  <w:style w:type="character" w:customStyle="1" w:styleId="23">
    <w:name w:val="批注框文本 Char"/>
    <w:link w:val="2"/>
    <w:uiPriority w:val="0"/>
    <w:rPr>
      <w:kern w:val="2"/>
      <w:sz w:val="18"/>
      <w:szCs w:val="18"/>
    </w:rPr>
  </w:style>
  <w:style w:type="character" w:customStyle="1" w:styleId="24">
    <w:name w:val="页脚 Char"/>
    <w:link w:val="3"/>
    <w:uiPriority w:val="0"/>
    <w:rPr>
      <w:kern w:val="2"/>
      <w:sz w:val="18"/>
      <w:szCs w:val="18"/>
    </w:rPr>
  </w:style>
  <w:style w:type="character" w:customStyle="1" w:styleId="25">
    <w:name w:val="页眉 Char"/>
    <w:link w:val="4"/>
    <w:uiPriority w:val="0"/>
    <w:rPr>
      <w:kern w:val="2"/>
      <w:sz w:val="18"/>
      <w:szCs w:val="18"/>
    </w:rPr>
  </w:style>
  <w:style w:type="character" w:customStyle="1" w:styleId="26">
    <w:name w:val="size"/>
    <w:basedOn w:val="9"/>
    <w:uiPriority w:val="0"/>
  </w:style>
  <w:style w:type="character" w:customStyle="1" w:styleId="27">
    <w:name w:val="bds_more1"/>
    <w:basedOn w:val="9"/>
    <w:uiPriority w:val="0"/>
    <w:rPr>
      <w:rFonts w:hint="eastAsia" w:ascii="宋体" w:hAnsi="宋体" w:eastAsia="宋体" w:cs="宋体"/>
    </w:rPr>
  </w:style>
  <w:style w:type="character" w:customStyle="1" w:styleId="28">
    <w:name w:val="bds_nopic1"/>
    <w:basedOn w:val="9"/>
    <w:uiPriority w:val="0"/>
  </w:style>
  <w:style w:type="character" w:customStyle="1" w:styleId="29">
    <w:name w:val="right5"/>
    <w:basedOn w:val="9"/>
    <w:uiPriority w:val="0"/>
  </w:style>
  <w:style w:type="character" w:customStyle="1" w:styleId="30">
    <w:name w:val="mk5_wzstyle"/>
    <w:basedOn w:val="9"/>
    <w:uiPriority w:val="0"/>
  </w:style>
  <w:style w:type="character" w:customStyle="1" w:styleId="31">
    <w:name w:val="p12_blue"/>
    <w:basedOn w:val="9"/>
    <w:uiPriority w:val="0"/>
  </w:style>
  <w:style w:type="character" w:customStyle="1" w:styleId="32">
    <w:name w:val="bds_more2"/>
    <w:basedOn w:val="9"/>
    <w:uiPriority w:val="0"/>
  </w:style>
  <w:style w:type="character" w:customStyle="1" w:styleId="33">
    <w:name w:val="bsharetext"/>
    <w:basedOn w:val="9"/>
    <w:uiPriority w:val="0"/>
  </w:style>
  <w:style w:type="character" w:customStyle="1" w:styleId="34">
    <w:name w:val="bds_nopic"/>
    <w:basedOn w:val="9"/>
    <w:uiPriority w:val="0"/>
  </w:style>
  <w:style w:type="character" w:customStyle="1" w:styleId="35">
    <w:name w:val="hover17"/>
    <w:basedOn w:val="9"/>
    <w:uiPriority w:val="0"/>
  </w:style>
  <w:style w:type="character" w:customStyle="1" w:styleId="36">
    <w:name w:val="bds_nopic2"/>
    <w:basedOn w:val="9"/>
    <w:uiPriority w:val="0"/>
  </w:style>
  <w:style w:type="character" w:customStyle="1" w:styleId="37">
    <w:name w:val="displaycontent"/>
    <w:basedOn w:val="9"/>
    <w:uiPriority w:val="0"/>
    <w:rPr>
      <w:color w:val="FF002A"/>
    </w:rPr>
  </w:style>
  <w:style w:type="character" w:customStyle="1" w:styleId="38">
    <w:name w:val="retractmanager"/>
    <w:basedOn w:val="9"/>
    <w:uiPriority w:val="0"/>
    <w:rPr>
      <w:color w:val="FF002A"/>
    </w:rPr>
  </w:style>
  <w:style w:type="character" w:customStyle="1" w:styleId="39">
    <w:name w:val="right6"/>
    <w:basedOn w:val="9"/>
    <w:uiPriority w:val="0"/>
  </w:style>
  <w:style w:type="character" w:customStyle="1" w:styleId="40">
    <w:name w:val="bds_more"/>
    <w:basedOn w:val="9"/>
    <w:uiPriority w:val="0"/>
  </w:style>
  <w:style w:type="paragraph" w:customStyle="1" w:styleId="41">
    <w:name w:val="Char"/>
    <w:basedOn w:val="1"/>
    <w:uiPriority w:val="0"/>
    <w:pPr>
      <w:widowControl/>
      <w:spacing w:line="360" w:lineRule="auto"/>
      <w:jc w:val="left"/>
    </w:pPr>
  </w:style>
  <w:style w:type="paragraph" w:customStyle="1" w:styleId="42">
    <w:name w:val="WPSOffice手动目录 1"/>
    <w:uiPriority w:val="0"/>
    <w:rPr>
      <w:lang w:val="en-US" w:eastAsia="zh-CN" w:bidi="ar-SA"/>
    </w:rPr>
  </w:style>
  <w:style w:type="paragraph" w:customStyle="1" w:styleId="43">
    <w:name w:val="WPSOffice手动目录 2"/>
    <w:uiPriority w:val="0"/>
    <w:pPr>
      <w:ind w:leftChars="200"/>
    </w:pPr>
    <w:rPr>
      <w:lang w:val="en-US" w:eastAsia="zh-CN" w:bidi="ar-SA"/>
    </w:rPr>
  </w:style>
  <w:style w:type="paragraph" w:customStyle="1" w:styleId="44">
    <w:name w:val="Normal (Web)"/>
    <w:basedOn w:val="1"/>
    <w:uiPriority w:val="0"/>
    <w:pPr>
      <w:jc w:val="left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2838</Words>
  <Characters>3080</Characters>
  <Lines>22</Lines>
  <Paragraphs>6</Paragraphs>
  <TotalTime>6</TotalTime>
  <ScaleCrop>false</ScaleCrop>
  <LinksUpToDate>false</LinksUpToDate>
  <CharactersWithSpaces>3146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2021-03-23T08:35:00Z</dcterms:created>
  <dc:creator>高立朝 10.104.97.45</dc:creator>
  <cp:lastModifiedBy>顾未浅</cp:lastModifiedBy>
  <cp:lastPrinted>2021-02-23T06:40:00Z</cp:lastPrinted>
  <dcterms:modified xsi:type="dcterms:W3CDTF">2025-07-24T02:52:15Z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023F0193ECC14A369B36E2D095BEFA46_13</vt:lpwstr>
  </property>
  <property fmtid="{D5CDD505-2E9C-101B-9397-08002B2CF9AE}" pid="4" name="KSOTemplateDocerSaveRecord">
    <vt:lpwstr>eyJoZGlkIjoiMmVmNDUzOTkyNWJkNDI1MWFjNTI4NzY4OGYyNmM1YzEiLCJ1c2VySWQiOiIyOTA4NDUwNiJ9</vt:lpwstr>
  </property>
</Properties>
</file>